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2D408">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0621A8DC">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4CDF086">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7D33DEFD">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14FB4285">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0921AB38">
      <w:pPr>
        <w:jc w:val="center"/>
        <w:rPr>
          <w:rFonts w:ascii="?????" w:hAnsi="?????" w:cs="?????"/>
          <w:b/>
          <w:bCs/>
          <w:color w:val="000000"/>
          <w:sz w:val="48"/>
          <w:szCs w:val="48"/>
        </w:rPr>
      </w:pPr>
      <w:r>
        <w:rPr>
          <w:rFonts w:hint="eastAsia" w:ascii="宋体" w:hAnsi="宋体" w:cs="宋体"/>
          <w:b/>
          <w:bCs/>
          <w:color w:val="000000"/>
          <w:sz w:val="48"/>
          <w:szCs w:val="48"/>
        </w:rPr>
        <w:t>鄂州市</w:t>
      </w:r>
      <w:r>
        <w:rPr>
          <w:rFonts w:ascii="?????" w:hAnsi="?????" w:cs="?????"/>
          <w:b/>
          <w:bCs/>
          <w:color w:val="000000"/>
          <w:sz w:val="48"/>
          <w:szCs w:val="48"/>
        </w:rPr>
        <w:t>“</w:t>
      </w:r>
      <w:r>
        <w:rPr>
          <w:rFonts w:hint="eastAsia" w:ascii="宋体" w:hAnsi="宋体" w:cs="宋体"/>
          <w:b/>
          <w:bCs/>
          <w:color w:val="000000"/>
          <w:sz w:val="48"/>
          <w:szCs w:val="48"/>
        </w:rPr>
        <w:t>十四五</w:t>
      </w:r>
      <w:r>
        <w:rPr>
          <w:rFonts w:ascii="?????" w:hAnsi="?????" w:cs="?????"/>
          <w:b/>
          <w:bCs/>
          <w:color w:val="000000"/>
          <w:sz w:val="48"/>
          <w:szCs w:val="48"/>
        </w:rPr>
        <w:t>”</w:t>
      </w:r>
      <w:r>
        <w:rPr>
          <w:rFonts w:hint="eastAsia" w:ascii="宋体" w:hAnsi="宋体" w:cs="宋体"/>
          <w:b/>
          <w:bCs/>
          <w:color w:val="000000"/>
          <w:sz w:val="48"/>
          <w:szCs w:val="48"/>
        </w:rPr>
        <w:t>文化旅游体育广电业</w:t>
      </w:r>
    </w:p>
    <w:p w14:paraId="6A9FCC44">
      <w:pPr>
        <w:jc w:val="center"/>
        <w:rPr>
          <w:rFonts w:ascii="?????" w:hAnsi="?????" w:cs="?????"/>
          <w:b/>
          <w:bCs/>
          <w:color w:val="000000"/>
          <w:sz w:val="48"/>
          <w:szCs w:val="48"/>
        </w:rPr>
      </w:pPr>
      <w:r>
        <w:rPr>
          <w:rFonts w:hint="eastAsia" w:ascii="宋体" w:hAnsi="宋体" w:cs="宋体"/>
          <w:b/>
          <w:bCs/>
          <w:color w:val="000000"/>
          <w:sz w:val="48"/>
          <w:szCs w:val="48"/>
        </w:rPr>
        <w:t>发展规划</w:t>
      </w:r>
    </w:p>
    <w:p w14:paraId="0C529A11">
      <w:pPr>
        <w:jc w:val="center"/>
        <w:rPr>
          <w:rFonts w:ascii="微软雅黑" w:hAnsi="微软雅黑" w:eastAsia="微软雅黑"/>
          <w:color w:val="000000"/>
          <w:sz w:val="50"/>
          <w:szCs w:val="50"/>
        </w:rPr>
      </w:pPr>
    </w:p>
    <w:p w14:paraId="272605CD">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6FDF26FD">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548D267">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12B1BFBB">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006BCAD">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653B8614">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B169A68">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6993E85">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0D37BB7">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332897A2">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C3134B2">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65AC3B3">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DCCCC97">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2E8F232A">
      <w:pPr>
        <w:pStyle w:val="13"/>
        <w:shd w:val="clear" w:color="auto" w:fill="FFFFFF"/>
        <w:spacing w:before="0" w:beforeAutospacing="0" w:after="0" w:afterAutospacing="0" w:line="420" w:lineRule="exact"/>
        <w:jc w:val="center"/>
        <w:rPr>
          <w:rFonts w:ascii="仿宋" w:hAnsi="仿宋" w:eastAsia="仿宋"/>
          <w:color w:val="000000"/>
          <w:sz w:val="28"/>
          <w:szCs w:val="28"/>
        </w:rPr>
      </w:pPr>
    </w:p>
    <w:p w14:paraId="5F127242">
      <w:pPr>
        <w:pStyle w:val="2"/>
        <w:adjustRightInd w:val="0"/>
        <w:snapToGrid w:val="0"/>
        <w:spacing w:line="560" w:lineRule="exact"/>
        <w:ind w:left="0" w:leftChars="0" w:firstLine="0" w:firstLineChars="0"/>
        <w:jc w:val="center"/>
        <w:rPr>
          <w:rFonts w:ascii="方正小标宋简体" w:hAnsi="方正小标宋简体" w:eastAsia="方正小标宋简体" w:cs="方正小标宋简体"/>
          <w:color w:val="000000"/>
          <w:sz w:val="30"/>
          <w:szCs w:val="30"/>
        </w:rPr>
      </w:pPr>
      <w:r>
        <w:rPr>
          <w:rFonts w:hint="eastAsia" w:ascii="方正小标宋简体" w:hAnsi="方正小标宋简体" w:eastAsia="方正小标宋简体" w:cs="方正小标宋简体"/>
          <w:color w:val="000000"/>
          <w:sz w:val="30"/>
          <w:szCs w:val="30"/>
        </w:rPr>
        <w:t>鄂州市文化和旅游（体育、广电）局</w:t>
      </w:r>
    </w:p>
    <w:p w14:paraId="4DDC4191">
      <w:pPr>
        <w:pStyle w:val="13"/>
        <w:shd w:val="clear" w:color="auto" w:fill="FFFFFF"/>
        <w:spacing w:before="0" w:beforeAutospacing="0" w:after="0" w:afterAutospacing="0" w:line="420" w:lineRule="exact"/>
        <w:jc w:val="center"/>
        <w:rPr>
          <w:rFonts w:ascii="方正小标宋简体" w:hAnsi="方正小标宋简体" w:eastAsia="方正小标宋简体" w:cs="方正小标宋简体"/>
          <w:color w:val="000000"/>
          <w:sz w:val="30"/>
          <w:szCs w:val="30"/>
        </w:rPr>
      </w:pPr>
    </w:p>
    <w:p w14:paraId="0B39E39E">
      <w:pPr>
        <w:pStyle w:val="13"/>
        <w:shd w:val="clear" w:color="auto" w:fill="FFFFFF"/>
        <w:spacing w:before="0" w:beforeAutospacing="0" w:after="0" w:afterAutospacing="0" w:line="420" w:lineRule="exact"/>
        <w:jc w:val="center"/>
        <w:rPr>
          <w:rFonts w:ascii="仿宋" w:hAnsi="仿宋" w:eastAsia="仿宋"/>
          <w:b/>
          <w:color w:val="000000"/>
          <w:sz w:val="32"/>
          <w:szCs w:val="32"/>
        </w:rPr>
        <w:sectPr>
          <w:footerReference r:id="rId3" w:type="default"/>
          <w:footerReference r:id="rId4" w:type="even"/>
          <w:pgSz w:w="11906" w:h="16838"/>
          <w:pgMar w:top="1440" w:right="1800" w:bottom="1440" w:left="1800" w:header="851" w:footer="1134" w:gutter="0"/>
          <w:pgNumType w:fmt="numberInDash" w:start="1"/>
          <w:cols w:space="720" w:num="1"/>
          <w:docGrid w:type="lines" w:linePitch="312" w:charSpace="0"/>
        </w:sectPr>
      </w:pPr>
      <w:r>
        <w:rPr>
          <w:rFonts w:hint="eastAsia" w:ascii="方正小标宋简体" w:hAnsi="方正小标宋简体" w:eastAsia="方正小标宋简体" w:cs="方正小标宋简体"/>
          <w:color w:val="000000"/>
          <w:sz w:val="30"/>
          <w:szCs w:val="30"/>
        </w:rPr>
        <w:t>二</w:t>
      </w:r>
      <w:r>
        <w:rPr>
          <w:rFonts w:hint="eastAsia"/>
          <w:color w:val="000000"/>
          <w:sz w:val="30"/>
          <w:szCs w:val="30"/>
        </w:rPr>
        <w:t>〇</w:t>
      </w:r>
      <w:r>
        <w:rPr>
          <w:rFonts w:hint="eastAsia" w:ascii="方正小标宋简体" w:hAnsi="方正小标宋简体" w:eastAsia="方正小标宋简体" w:cs="方正小标宋简体"/>
          <w:color w:val="000000"/>
          <w:sz w:val="30"/>
          <w:szCs w:val="30"/>
        </w:rPr>
        <w:t>二二年十一月</w:t>
      </w:r>
    </w:p>
    <w:p w14:paraId="19F191E4">
      <w:pPr>
        <w:pStyle w:val="13"/>
        <w:shd w:val="clear" w:color="auto" w:fill="FFFFFF"/>
        <w:spacing w:before="0" w:beforeAutospacing="0" w:after="0" w:afterAutospacing="0" w:line="420" w:lineRule="exact"/>
        <w:jc w:val="center"/>
        <w:rPr>
          <w:rFonts w:ascii="仿宋" w:hAnsi="仿宋" w:eastAsia="仿宋"/>
          <w:b/>
          <w:color w:val="000000"/>
          <w:sz w:val="32"/>
          <w:szCs w:val="32"/>
        </w:rPr>
      </w:pPr>
      <w:r>
        <w:rPr>
          <w:rFonts w:hint="eastAsia" w:ascii="仿宋" w:hAnsi="仿宋" w:eastAsia="仿宋"/>
          <w:b/>
          <w:color w:val="000000"/>
          <w:sz w:val="32"/>
          <w:szCs w:val="32"/>
        </w:rPr>
        <w:t>前</w:t>
      </w:r>
      <w:r>
        <w:rPr>
          <w:rFonts w:ascii="仿宋" w:hAnsi="仿宋" w:eastAsia="仿宋"/>
          <w:b/>
          <w:color w:val="000000"/>
          <w:sz w:val="32"/>
          <w:szCs w:val="32"/>
        </w:rPr>
        <w:t xml:space="preserve">  </w:t>
      </w:r>
      <w:r>
        <w:rPr>
          <w:rFonts w:hint="eastAsia" w:ascii="仿宋" w:hAnsi="仿宋" w:eastAsia="仿宋"/>
          <w:b/>
          <w:color w:val="000000"/>
          <w:sz w:val="32"/>
          <w:szCs w:val="32"/>
        </w:rPr>
        <w:t>言</w:t>
      </w:r>
    </w:p>
    <w:p w14:paraId="5BE9FD87">
      <w:pPr>
        <w:rPr>
          <w:color w:val="000000"/>
        </w:rPr>
      </w:pPr>
    </w:p>
    <w:p w14:paraId="76DCF5E8">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四五”时期是我国全面建成小康社会、实现第一个百年奋斗目标之后，乘势而上开启全面建设社会主义现代化国家新征程、向第二个百年奋斗目标进军的第一个五年，也是鄂州市深化转型升级、推动高质量发展、提高文化软实力的重要战略机遇期，对鄂州市文化和旅游高质量发展意义重大。文化旅游体育广电业是建设文化强国，增强国家文化实力与经济实力的重要组成部分。湖北省建设全国构建新发展格局先行区发展战略、鄂州市“武鄂同城、城乡融合”发展之定位，都为鄂州文化旅游体育广电业的发展带来了历史性重大发展契机。加快鄂州市文化旅游体育广电事业与产业发展，是落实中央和省、市工作部署的重大举措。科学编制和有效实施《鄂州市“十四五”文化旅游体育广电业发展规划》（以下简称《规划》），对于积极适应形势变化，主动满足各方对规划的新期待，加快把文化旅游体育广电业培育成为鄂州市经济发展新的增长点，全面落实“两区一枢纽”的总体要求具有重大意义。</w:t>
      </w:r>
    </w:p>
    <w:p w14:paraId="04BC2DE7">
      <w:pPr>
        <w:spacing w:line="580" w:lineRule="exact"/>
        <w:ind w:firstLine="640" w:firstLineChars="200"/>
        <w:rPr>
          <w:rFonts w:hint="eastAsia" w:ascii="仿宋_GB2312" w:eastAsia="仿宋_GB2312" w:cs="仿宋_GB2312"/>
          <w:color w:val="000000"/>
          <w:kern w:val="0"/>
          <w:sz w:val="32"/>
          <w:szCs w:val="32"/>
        </w:rPr>
        <w:sectPr>
          <w:footerReference r:id="rId5"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规划》以国家、省、市的各项规划及行动方案为指导，结合鄂州市实际而编制。《规划》阐述了“十三五”期间鄂州市文化旅游体育广电业发展所取得的成就及存在的问题，分析了“十四五”期间鄂州发展文化旅游体育广电业所面临的机遇和挑战，明确了</w:t>
      </w:r>
      <w:r>
        <w:rPr>
          <w:rFonts w:ascii="仿宋_GB2312" w:eastAsia="仿宋_GB2312" w:cs="仿宋_GB2312"/>
          <w:color w:val="000000"/>
          <w:kern w:val="0"/>
          <w:sz w:val="32"/>
          <w:szCs w:val="32"/>
        </w:rPr>
        <w:t>2021</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年鄂州市文化旅游体育广电业发展的指导思想、发展目标、重点任务及保障措施，</w:t>
      </w:r>
    </w:p>
    <w:p w14:paraId="3FCEDF98">
      <w:pPr>
        <w:spacing w:line="580" w:lineRule="exact"/>
        <w:ind w:firstLine="640" w:firstLineChars="200"/>
        <w:rPr>
          <w:rFonts w:ascii="仿宋_GB2312" w:eastAsia="仿宋_GB2312" w:cs="仿宋_GB2312"/>
          <w:color w:val="000000"/>
          <w:kern w:val="0"/>
          <w:sz w:val="32"/>
          <w:szCs w:val="32"/>
        </w:rPr>
        <w:sectPr>
          <w:footerReference r:id="rId6"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并建立了鄂州市“十四五”文化旅游体育广电业重点建设项目库。《规划》是指导鄂州“十四五”期间文化旅游体育广电业发展的宏伟蓝图，是“十四五”期间鄂州市文化旅游体育广电业发展的重要指南。</w:t>
      </w:r>
      <w:r>
        <w:rPr>
          <w:rFonts w:ascii="仿宋_GB2312" w:eastAsia="仿宋_GB2312" w:cs="仿宋_GB2312"/>
          <w:color w:val="000000"/>
          <w:kern w:val="0"/>
          <w:sz w:val="32"/>
          <w:szCs w:val="32"/>
        </w:rPr>
        <w:t xml:space="preserve">               </w:t>
      </w:r>
    </w:p>
    <w:p w14:paraId="4E81F5FD">
      <w:pPr>
        <w:spacing w:line="400" w:lineRule="exact"/>
        <w:jc w:val="center"/>
        <w:rPr>
          <w:rFonts w:eastAsia="黑体"/>
          <w:color w:val="000000"/>
          <w:kern w:val="0"/>
          <w:sz w:val="44"/>
          <w:szCs w:val="44"/>
        </w:rPr>
      </w:pPr>
    </w:p>
    <w:p w14:paraId="31CCF4A1">
      <w:pPr>
        <w:tabs>
          <w:tab w:val="right" w:leader="middleDot" w:pos="8400"/>
        </w:tabs>
        <w:spacing w:line="500" w:lineRule="exact"/>
        <w:jc w:val="center"/>
        <w:rPr>
          <w:rFonts w:eastAsia="黑体"/>
          <w:color w:val="000000"/>
          <w:kern w:val="0"/>
          <w:sz w:val="44"/>
          <w:szCs w:val="44"/>
        </w:rPr>
      </w:pPr>
      <w:r>
        <w:rPr>
          <w:rFonts w:hint="eastAsia" w:eastAsia="黑体"/>
          <w:color w:val="000000"/>
          <w:kern w:val="0"/>
          <w:sz w:val="44"/>
          <w:szCs w:val="44"/>
        </w:rPr>
        <w:t>目</w:t>
      </w:r>
      <w:r>
        <w:rPr>
          <w:rFonts w:eastAsia="黑体"/>
          <w:color w:val="000000"/>
          <w:kern w:val="0"/>
          <w:sz w:val="44"/>
          <w:szCs w:val="44"/>
        </w:rPr>
        <w:t xml:space="preserve">   </w:t>
      </w:r>
      <w:r>
        <w:rPr>
          <w:rFonts w:hint="eastAsia" w:eastAsia="黑体"/>
          <w:color w:val="000000"/>
          <w:kern w:val="0"/>
          <w:sz w:val="44"/>
          <w:szCs w:val="44"/>
        </w:rPr>
        <w:t>录</w:t>
      </w:r>
    </w:p>
    <w:p w14:paraId="664582FE">
      <w:pPr>
        <w:pStyle w:val="2"/>
        <w:tabs>
          <w:tab w:val="right" w:leader="middleDot" w:pos="8400"/>
        </w:tabs>
        <w:spacing w:line="400" w:lineRule="exact"/>
        <w:rPr>
          <w:rFonts w:ascii="Times New Roman" w:hAnsi="Times New Roman"/>
        </w:rPr>
      </w:pPr>
    </w:p>
    <w:p w14:paraId="7CC5E23A">
      <w:pPr>
        <w:pStyle w:val="11"/>
        <w:spacing w:line="460" w:lineRule="exact"/>
        <w:rPr>
          <w:rFonts w:ascii="Times New Roman" w:eastAsia="宋体"/>
          <w:b w:val="0"/>
          <w:bCs w:val="0"/>
          <w:caps w:val="0"/>
          <w:sz w:val="28"/>
        </w:rPr>
      </w:pPr>
      <w:r>
        <w:rPr>
          <w:rFonts w:ascii="仿宋_GB2312"/>
          <w:color w:val="000000"/>
          <w:kern w:val="0"/>
          <w:sz w:val="28"/>
        </w:rPr>
        <w:fldChar w:fldCharType="begin"/>
      </w:r>
      <w:r>
        <w:rPr>
          <w:rFonts w:ascii="仿宋_GB2312"/>
          <w:color w:val="000000"/>
          <w:kern w:val="0"/>
          <w:sz w:val="28"/>
        </w:rPr>
        <w:instrText xml:space="preserve"> TOC \o "1-3" \h \z \u </w:instrText>
      </w:r>
      <w:r>
        <w:rPr>
          <w:rFonts w:ascii="仿宋_GB2312"/>
          <w:color w:val="000000"/>
          <w:kern w:val="0"/>
          <w:sz w:val="28"/>
        </w:rPr>
        <w:fldChar w:fldCharType="separate"/>
      </w:r>
      <w:r>
        <w:fldChar w:fldCharType="begin"/>
      </w:r>
      <w:r>
        <w:instrText xml:space="preserve"> HYPERLINK \l "_Toc118988163" </w:instrText>
      </w:r>
      <w:r>
        <w:fldChar w:fldCharType="separate"/>
      </w:r>
      <w:r>
        <w:rPr>
          <w:rStyle w:val="18"/>
          <w:rFonts w:hint="eastAsia" w:ascii="微软雅黑" w:hAnsi="微软雅黑" w:eastAsia="微软雅黑" w:cs="微软雅黑"/>
          <w:sz w:val="28"/>
        </w:rPr>
        <w:t>一、发展基础</w:t>
      </w:r>
      <w:r>
        <w:rPr>
          <w:sz w:val="28"/>
        </w:rPr>
        <w:tab/>
      </w:r>
      <w:r>
        <w:rPr>
          <w:sz w:val="28"/>
        </w:rPr>
        <w:fldChar w:fldCharType="begin"/>
      </w:r>
      <w:r>
        <w:rPr>
          <w:sz w:val="28"/>
        </w:rPr>
        <w:instrText xml:space="preserve"> PAGEREF _Toc118988163 \h </w:instrText>
      </w:r>
      <w:r>
        <w:rPr>
          <w:sz w:val="28"/>
        </w:rPr>
        <w:fldChar w:fldCharType="separate"/>
      </w:r>
      <w:r>
        <w:rPr>
          <w:sz w:val="28"/>
        </w:rPr>
        <w:t>1</w:t>
      </w:r>
      <w:r>
        <w:rPr>
          <w:sz w:val="28"/>
        </w:rPr>
        <w:fldChar w:fldCharType="end"/>
      </w:r>
      <w:r>
        <w:rPr>
          <w:sz w:val="28"/>
        </w:rPr>
        <w:fldChar w:fldCharType="end"/>
      </w:r>
    </w:p>
    <w:p w14:paraId="09AC313B">
      <w:pPr>
        <w:pStyle w:val="12"/>
        <w:spacing w:line="460" w:lineRule="exact"/>
        <w:rPr>
          <w:rFonts w:ascii="Times New Roman" w:eastAsia="宋体"/>
        </w:rPr>
      </w:pPr>
      <w:r>
        <w:fldChar w:fldCharType="begin"/>
      </w:r>
      <w:r>
        <w:instrText xml:space="preserve"> HYPERLINK \l "_Toc118988164" </w:instrText>
      </w:r>
      <w:r>
        <w:fldChar w:fldCharType="separate"/>
      </w:r>
      <w:r>
        <w:rPr>
          <w:rStyle w:val="18"/>
          <w:rFonts w:hint="eastAsia" w:ascii="宋体" w:hAnsi="宋体" w:cs="宋体"/>
        </w:rPr>
        <w:t>（一）</w:t>
      </w:r>
      <w:r>
        <w:rPr>
          <w:rStyle w:val="18"/>
          <w:rFonts w:ascii="?????" w:hAnsi="?????" w:cs="?????"/>
        </w:rPr>
        <w:t>“</w:t>
      </w:r>
      <w:r>
        <w:rPr>
          <w:rStyle w:val="18"/>
          <w:rFonts w:hint="eastAsia" w:ascii="宋体" w:hAnsi="宋体" w:cs="宋体"/>
        </w:rPr>
        <w:t>十三五</w:t>
      </w:r>
      <w:r>
        <w:rPr>
          <w:rStyle w:val="18"/>
          <w:rFonts w:ascii="?????" w:hAnsi="?????" w:cs="?????"/>
        </w:rPr>
        <w:t>”</w:t>
      </w:r>
      <w:r>
        <w:rPr>
          <w:rStyle w:val="18"/>
          <w:rFonts w:hint="eastAsia" w:ascii="宋体" w:hAnsi="宋体" w:cs="宋体"/>
        </w:rPr>
        <w:t>取得的成就</w:t>
      </w:r>
      <w:r>
        <w:tab/>
      </w:r>
      <w:r>
        <w:fldChar w:fldCharType="begin"/>
      </w:r>
      <w:r>
        <w:instrText xml:space="preserve"> PAGEREF _Toc118988164 \h </w:instrText>
      </w:r>
      <w:r>
        <w:fldChar w:fldCharType="separate"/>
      </w:r>
      <w:r>
        <w:t>1</w:t>
      </w:r>
      <w:r>
        <w:fldChar w:fldCharType="end"/>
      </w:r>
      <w:r>
        <w:fldChar w:fldCharType="end"/>
      </w:r>
    </w:p>
    <w:p w14:paraId="5C9F9831">
      <w:pPr>
        <w:pStyle w:val="8"/>
        <w:spacing w:line="460" w:lineRule="exact"/>
        <w:rPr>
          <w:sz w:val="28"/>
          <w:szCs w:val="28"/>
        </w:rPr>
      </w:pPr>
      <w:r>
        <w:fldChar w:fldCharType="begin"/>
      </w:r>
      <w:r>
        <w:instrText xml:space="preserve"> HYPERLINK \l "_Toc118988165"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顶层设计不断优化</w:t>
      </w:r>
      <w:r>
        <w:rPr>
          <w:sz w:val="28"/>
          <w:szCs w:val="28"/>
        </w:rPr>
        <w:tab/>
      </w:r>
      <w:r>
        <w:rPr>
          <w:sz w:val="28"/>
          <w:szCs w:val="28"/>
        </w:rPr>
        <w:fldChar w:fldCharType="begin"/>
      </w:r>
      <w:r>
        <w:rPr>
          <w:sz w:val="28"/>
          <w:szCs w:val="28"/>
        </w:rPr>
        <w:instrText xml:space="preserve"> PAGEREF _Toc118988165 \h </w:instrText>
      </w:r>
      <w:r>
        <w:rPr>
          <w:sz w:val="28"/>
          <w:szCs w:val="28"/>
        </w:rPr>
        <w:fldChar w:fldCharType="separate"/>
      </w:r>
      <w:r>
        <w:rPr>
          <w:sz w:val="28"/>
          <w:szCs w:val="28"/>
        </w:rPr>
        <w:t>2</w:t>
      </w:r>
      <w:r>
        <w:rPr>
          <w:sz w:val="28"/>
          <w:szCs w:val="28"/>
        </w:rPr>
        <w:fldChar w:fldCharType="end"/>
      </w:r>
      <w:r>
        <w:rPr>
          <w:sz w:val="28"/>
          <w:szCs w:val="28"/>
        </w:rPr>
        <w:fldChar w:fldCharType="end"/>
      </w:r>
    </w:p>
    <w:p w14:paraId="23486A04">
      <w:pPr>
        <w:pStyle w:val="8"/>
        <w:spacing w:line="460" w:lineRule="exact"/>
        <w:rPr>
          <w:sz w:val="28"/>
          <w:szCs w:val="28"/>
        </w:rPr>
      </w:pPr>
      <w:r>
        <w:fldChar w:fldCharType="begin"/>
      </w:r>
      <w:r>
        <w:instrText xml:space="preserve"> HYPERLINK \l "_Toc118988166"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公共服务全面提升</w:t>
      </w:r>
      <w:r>
        <w:rPr>
          <w:sz w:val="28"/>
          <w:szCs w:val="28"/>
        </w:rPr>
        <w:tab/>
      </w:r>
      <w:r>
        <w:rPr>
          <w:sz w:val="28"/>
          <w:szCs w:val="28"/>
        </w:rPr>
        <w:fldChar w:fldCharType="begin"/>
      </w:r>
      <w:r>
        <w:rPr>
          <w:sz w:val="28"/>
          <w:szCs w:val="28"/>
        </w:rPr>
        <w:instrText xml:space="preserve"> PAGEREF _Toc118988166 \h </w:instrText>
      </w:r>
      <w:r>
        <w:rPr>
          <w:sz w:val="28"/>
          <w:szCs w:val="28"/>
        </w:rPr>
        <w:fldChar w:fldCharType="separate"/>
      </w:r>
      <w:r>
        <w:rPr>
          <w:sz w:val="28"/>
          <w:szCs w:val="28"/>
        </w:rPr>
        <w:t>3</w:t>
      </w:r>
      <w:r>
        <w:rPr>
          <w:sz w:val="28"/>
          <w:szCs w:val="28"/>
        </w:rPr>
        <w:fldChar w:fldCharType="end"/>
      </w:r>
      <w:r>
        <w:rPr>
          <w:sz w:val="28"/>
          <w:szCs w:val="28"/>
        </w:rPr>
        <w:fldChar w:fldCharType="end"/>
      </w:r>
    </w:p>
    <w:p w14:paraId="0103C13D">
      <w:pPr>
        <w:pStyle w:val="8"/>
        <w:spacing w:line="460" w:lineRule="exact"/>
        <w:rPr>
          <w:sz w:val="28"/>
          <w:szCs w:val="28"/>
        </w:rPr>
      </w:pPr>
      <w:r>
        <w:fldChar w:fldCharType="begin"/>
      </w:r>
      <w:r>
        <w:instrText xml:space="preserve"> HYPERLINK \l "_Toc118988167"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节庆会展再谱新篇</w:t>
      </w:r>
      <w:r>
        <w:rPr>
          <w:sz w:val="28"/>
          <w:szCs w:val="28"/>
        </w:rPr>
        <w:tab/>
      </w:r>
      <w:r>
        <w:rPr>
          <w:sz w:val="28"/>
          <w:szCs w:val="28"/>
        </w:rPr>
        <w:fldChar w:fldCharType="begin"/>
      </w:r>
      <w:r>
        <w:rPr>
          <w:sz w:val="28"/>
          <w:szCs w:val="28"/>
        </w:rPr>
        <w:instrText xml:space="preserve"> PAGEREF _Toc118988167 \h </w:instrText>
      </w:r>
      <w:r>
        <w:rPr>
          <w:sz w:val="28"/>
          <w:szCs w:val="28"/>
        </w:rPr>
        <w:fldChar w:fldCharType="separate"/>
      </w:r>
      <w:r>
        <w:rPr>
          <w:sz w:val="28"/>
          <w:szCs w:val="28"/>
        </w:rPr>
        <w:t>5</w:t>
      </w:r>
      <w:r>
        <w:rPr>
          <w:sz w:val="28"/>
          <w:szCs w:val="28"/>
        </w:rPr>
        <w:fldChar w:fldCharType="end"/>
      </w:r>
      <w:r>
        <w:rPr>
          <w:sz w:val="28"/>
          <w:szCs w:val="28"/>
        </w:rPr>
        <w:fldChar w:fldCharType="end"/>
      </w:r>
    </w:p>
    <w:p w14:paraId="344BC0AA">
      <w:pPr>
        <w:pStyle w:val="8"/>
        <w:spacing w:line="460" w:lineRule="exact"/>
        <w:rPr>
          <w:sz w:val="28"/>
          <w:szCs w:val="28"/>
        </w:rPr>
      </w:pPr>
      <w:r>
        <w:fldChar w:fldCharType="begin"/>
      </w:r>
      <w:r>
        <w:instrText xml:space="preserve"> HYPERLINK \l "_Toc118988168"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文化惠民蓬勃开展</w:t>
      </w:r>
      <w:r>
        <w:rPr>
          <w:sz w:val="28"/>
          <w:szCs w:val="28"/>
        </w:rPr>
        <w:tab/>
      </w:r>
      <w:r>
        <w:rPr>
          <w:sz w:val="28"/>
          <w:szCs w:val="28"/>
        </w:rPr>
        <w:fldChar w:fldCharType="begin"/>
      </w:r>
      <w:r>
        <w:rPr>
          <w:sz w:val="28"/>
          <w:szCs w:val="28"/>
        </w:rPr>
        <w:instrText xml:space="preserve"> PAGEREF _Toc118988168 \h </w:instrText>
      </w:r>
      <w:r>
        <w:rPr>
          <w:sz w:val="28"/>
          <w:szCs w:val="28"/>
        </w:rPr>
        <w:fldChar w:fldCharType="separate"/>
      </w:r>
      <w:r>
        <w:rPr>
          <w:sz w:val="28"/>
          <w:szCs w:val="28"/>
        </w:rPr>
        <w:t>6</w:t>
      </w:r>
      <w:r>
        <w:rPr>
          <w:sz w:val="28"/>
          <w:szCs w:val="28"/>
        </w:rPr>
        <w:fldChar w:fldCharType="end"/>
      </w:r>
      <w:r>
        <w:rPr>
          <w:sz w:val="28"/>
          <w:szCs w:val="28"/>
        </w:rPr>
        <w:fldChar w:fldCharType="end"/>
      </w:r>
    </w:p>
    <w:p w14:paraId="797C544F">
      <w:pPr>
        <w:pStyle w:val="8"/>
        <w:spacing w:line="460" w:lineRule="exact"/>
        <w:rPr>
          <w:sz w:val="28"/>
          <w:szCs w:val="28"/>
        </w:rPr>
      </w:pPr>
      <w:r>
        <w:fldChar w:fldCharType="begin"/>
      </w:r>
      <w:r>
        <w:instrText xml:space="preserve"> HYPERLINK \l "_Toc118988169"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文艺精品推陈出新</w:t>
      </w:r>
      <w:r>
        <w:rPr>
          <w:sz w:val="28"/>
          <w:szCs w:val="28"/>
        </w:rPr>
        <w:tab/>
      </w:r>
      <w:r>
        <w:rPr>
          <w:sz w:val="28"/>
          <w:szCs w:val="28"/>
        </w:rPr>
        <w:fldChar w:fldCharType="begin"/>
      </w:r>
      <w:r>
        <w:rPr>
          <w:sz w:val="28"/>
          <w:szCs w:val="28"/>
        </w:rPr>
        <w:instrText xml:space="preserve"> PAGEREF _Toc118988169 \h </w:instrText>
      </w:r>
      <w:r>
        <w:rPr>
          <w:sz w:val="28"/>
          <w:szCs w:val="28"/>
        </w:rPr>
        <w:fldChar w:fldCharType="separate"/>
      </w:r>
      <w:r>
        <w:rPr>
          <w:sz w:val="28"/>
          <w:szCs w:val="28"/>
        </w:rPr>
        <w:t>7</w:t>
      </w:r>
      <w:r>
        <w:rPr>
          <w:sz w:val="28"/>
          <w:szCs w:val="28"/>
        </w:rPr>
        <w:fldChar w:fldCharType="end"/>
      </w:r>
      <w:r>
        <w:rPr>
          <w:sz w:val="28"/>
          <w:szCs w:val="28"/>
        </w:rPr>
        <w:fldChar w:fldCharType="end"/>
      </w:r>
    </w:p>
    <w:p w14:paraId="47EB1A4F">
      <w:pPr>
        <w:pStyle w:val="8"/>
        <w:spacing w:line="460" w:lineRule="exact"/>
        <w:rPr>
          <w:sz w:val="28"/>
          <w:szCs w:val="28"/>
        </w:rPr>
      </w:pPr>
      <w:r>
        <w:fldChar w:fldCharType="begin"/>
      </w:r>
      <w:r>
        <w:instrText xml:space="preserve"> HYPERLINK \l "_Toc118988170"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文博事业成效显著</w:t>
      </w:r>
      <w:r>
        <w:rPr>
          <w:sz w:val="28"/>
          <w:szCs w:val="28"/>
        </w:rPr>
        <w:tab/>
      </w:r>
      <w:r>
        <w:rPr>
          <w:sz w:val="28"/>
          <w:szCs w:val="28"/>
        </w:rPr>
        <w:fldChar w:fldCharType="begin"/>
      </w:r>
      <w:r>
        <w:rPr>
          <w:sz w:val="28"/>
          <w:szCs w:val="28"/>
        </w:rPr>
        <w:instrText xml:space="preserve"> PAGEREF _Toc118988170 \h </w:instrText>
      </w:r>
      <w:r>
        <w:rPr>
          <w:sz w:val="28"/>
          <w:szCs w:val="28"/>
        </w:rPr>
        <w:fldChar w:fldCharType="separate"/>
      </w:r>
      <w:r>
        <w:rPr>
          <w:sz w:val="28"/>
          <w:szCs w:val="28"/>
        </w:rPr>
        <w:t>7</w:t>
      </w:r>
      <w:r>
        <w:rPr>
          <w:sz w:val="28"/>
          <w:szCs w:val="28"/>
        </w:rPr>
        <w:fldChar w:fldCharType="end"/>
      </w:r>
      <w:r>
        <w:rPr>
          <w:sz w:val="28"/>
          <w:szCs w:val="28"/>
        </w:rPr>
        <w:fldChar w:fldCharType="end"/>
      </w:r>
    </w:p>
    <w:p w14:paraId="6FDFE75D">
      <w:pPr>
        <w:pStyle w:val="8"/>
        <w:spacing w:line="460" w:lineRule="exact"/>
        <w:rPr>
          <w:sz w:val="28"/>
          <w:szCs w:val="28"/>
        </w:rPr>
      </w:pPr>
      <w:r>
        <w:fldChar w:fldCharType="begin"/>
      </w:r>
      <w:r>
        <w:instrText xml:space="preserve"> HYPERLINK \l "_Toc118988171" </w:instrText>
      </w:r>
      <w:r>
        <w:fldChar w:fldCharType="separate"/>
      </w:r>
      <w:r>
        <w:rPr>
          <w:rStyle w:val="18"/>
          <w:rFonts w:ascii="仿宋_GB2312" w:eastAsia="仿宋_GB2312"/>
          <w:sz w:val="28"/>
          <w:szCs w:val="28"/>
        </w:rPr>
        <w:t>7.</w:t>
      </w:r>
      <w:r>
        <w:rPr>
          <w:rStyle w:val="18"/>
          <w:rFonts w:hint="eastAsia" w:ascii="仿宋_GB2312" w:eastAsia="仿宋_GB2312"/>
          <w:sz w:val="28"/>
          <w:szCs w:val="28"/>
        </w:rPr>
        <w:t>非遗保护成效明显</w:t>
      </w:r>
      <w:r>
        <w:rPr>
          <w:sz w:val="28"/>
          <w:szCs w:val="28"/>
        </w:rPr>
        <w:tab/>
      </w:r>
      <w:r>
        <w:rPr>
          <w:sz w:val="28"/>
          <w:szCs w:val="28"/>
        </w:rPr>
        <w:fldChar w:fldCharType="begin"/>
      </w:r>
      <w:r>
        <w:rPr>
          <w:sz w:val="28"/>
          <w:szCs w:val="28"/>
        </w:rPr>
        <w:instrText xml:space="preserve"> PAGEREF _Toc118988171 \h </w:instrText>
      </w:r>
      <w:r>
        <w:rPr>
          <w:sz w:val="28"/>
          <w:szCs w:val="28"/>
        </w:rPr>
        <w:fldChar w:fldCharType="separate"/>
      </w:r>
      <w:r>
        <w:rPr>
          <w:sz w:val="28"/>
          <w:szCs w:val="28"/>
        </w:rPr>
        <w:t>8</w:t>
      </w:r>
      <w:r>
        <w:rPr>
          <w:sz w:val="28"/>
          <w:szCs w:val="28"/>
        </w:rPr>
        <w:fldChar w:fldCharType="end"/>
      </w:r>
      <w:r>
        <w:rPr>
          <w:sz w:val="28"/>
          <w:szCs w:val="28"/>
        </w:rPr>
        <w:fldChar w:fldCharType="end"/>
      </w:r>
    </w:p>
    <w:p w14:paraId="2CA1CF64">
      <w:pPr>
        <w:pStyle w:val="8"/>
        <w:spacing w:line="460" w:lineRule="exact"/>
        <w:rPr>
          <w:sz w:val="28"/>
          <w:szCs w:val="28"/>
        </w:rPr>
      </w:pPr>
      <w:r>
        <w:fldChar w:fldCharType="begin"/>
      </w:r>
      <w:r>
        <w:instrText xml:space="preserve"> HYPERLINK \l "_Toc118988172" </w:instrText>
      </w:r>
      <w:r>
        <w:fldChar w:fldCharType="separate"/>
      </w:r>
      <w:r>
        <w:rPr>
          <w:rStyle w:val="18"/>
          <w:rFonts w:ascii="仿宋_GB2312" w:eastAsia="仿宋_GB2312"/>
          <w:sz w:val="28"/>
          <w:szCs w:val="28"/>
        </w:rPr>
        <w:t>8.</w:t>
      </w:r>
      <w:r>
        <w:rPr>
          <w:rStyle w:val="18"/>
          <w:rFonts w:hint="eastAsia" w:ascii="仿宋_GB2312" w:eastAsia="仿宋_GB2312"/>
          <w:sz w:val="28"/>
          <w:szCs w:val="28"/>
        </w:rPr>
        <w:t>体育工作稳步发展</w:t>
      </w:r>
      <w:r>
        <w:rPr>
          <w:sz w:val="28"/>
          <w:szCs w:val="28"/>
        </w:rPr>
        <w:tab/>
      </w:r>
      <w:r>
        <w:rPr>
          <w:sz w:val="28"/>
          <w:szCs w:val="28"/>
        </w:rPr>
        <w:fldChar w:fldCharType="begin"/>
      </w:r>
      <w:r>
        <w:rPr>
          <w:sz w:val="28"/>
          <w:szCs w:val="28"/>
        </w:rPr>
        <w:instrText xml:space="preserve"> PAGEREF _Toc118988172 \h </w:instrText>
      </w:r>
      <w:r>
        <w:rPr>
          <w:sz w:val="28"/>
          <w:szCs w:val="28"/>
        </w:rPr>
        <w:fldChar w:fldCharType="separate"/>
      </w:r>
      <w:r>
        <w:rPr>
          <w:sz w:val="28"/>
          <w:szCs w:val="28"/>
        </w:rPr>
        <w:t>8</w:t>
      </w:r>
      <w:r>
        <w:rPr>
          <w:sz w:val="28"/>
          <w:szCs w:val="28"/>
        </w:rPr>
        <w:fldChar w:fldCharType="end"/>
      </w:r>
      <w:r>
        <w:rPr>
          <w:sz w:val="28"/>
          <w:szCs w:val="28"/>
        </w:rPr>
        <w:fldChar w:fldCharType="end"/>
      </w:r>
    </w:p>
    <w:p w14:paraId="7C454ABC">
      <w:pPr>
        <w:pStyle w:val="8"/>
        <w:spacing w:line="460" w:lineRule="exact"/>
        <w:rPr>
          <w:sz w:val="28"/>
          <w:szCs w:val="28"/>
        </w:rPr>
      </w:pPr>
      <w:r>
        <w:fldChar w:fldCharType="begin"/>
      </w:r>
      <w:r>
        <w:instrText xml:space="preserve"> HYPERLINK \l "_Toc118988173" </w:instrText>
      </w:r>
      <w:r>
        <w:fldChar w:fldCharType="separate"/>
      </w:r>
      <w:r>
        <w:rPr>
          <w:rStyle w:val="18"/>
          <w:rFonts w:ascii="仿宋_GB2312" w:eastAsia="仿宋_GB2312"/>
          <w:sz w:val="28"/>
          <w:szCs w:val="28"/>
        </w:rPr>
        <w:t>9.</w:t>
      </w:r>
      <w:r>
        <w:rPr>
          <w:rStyle w:val="18"/>
          <w:rFonts w:hint="eastAsia" w:ascii="仿宋_GB2312" w:eastAsia="仿宋_GB2312"/>
          <w:sz w:val="28"/>
          <w:szCs w:val="28"/>
        </w:rPr>
        <w:t>广播电视守正出新</w:t>
      </w:r>
      <w:r>
        <w:rPr>
          <w:sz w:val="28"/>
          <w:szCs w:val="28"/>
        </w:rPr>
        <w:tab/>
      </w:r>
      <w:r>
        <w:rPr>
          <w:sz w:val="28"/>
          <w:szCs w:val="28"/>
        </w:rPr>
        <w:fldChar w:fldCharType="begin"/>
      </w:r>
      <w:r>
        <w:rPr>
          <w:sz w:val="28"/>
          <w:szCs w:val="28"/>
        </w:rPr>
        <w:instrText xml:space="preserve"> PAGEREF _Toc118988173 \h </w:instrText>
      </w:r>
      <w:r>
        <w:rPr>
          <w:sz w:val="28"/>
          <w:szCs w:val="28"/>
        </w:rPr>
        <w:fldChar w:fldCharType="separate"/>
      </w:r>
      <w:r>
        <w:rPr>
          <w:sz w:val="28"/>
          <w:szCs w:val="28"/>
        </w:rPr>
        <w:t>9</w:t>
      </w:r>
      <w:r>
        <w:rPr>
          <w:sz w:val="28"/>
          <w:szCs w:val="28"/>
        </w:rPr>
        <w:fldChar w:fldCharType="end"/>
      </w:r>
      <w:r>
        <w:rPr>
          <w:sz w:val="28"/>
          <w:szCs w:val="28"/>
        </w:rPr>
        <w:fldChar w:fldCharType="end"/>
      </w:r>
    </w:p>
    <w:p w14:paraId="6D97968F">
      <w:pPr>
        <w:pStyle w:val="8"/>
        <w:spacing w:line="460" w:lineRule="exact"/>
        <w:rPr>
          <w:sz w:val="28"/>
          <w:szCs w:val="28"/>
        </w:rPr>
      </w:pPr>
      <w:r>
        <w:fldChar w:fldCharType="begin"/>
      </w:r>
      <w:r>
        <w:instrText xml:space="preserve"> HYPERLINK \l "_Toc118988174" </w:instrText>
      </w:r>
      <w:r>
        <w:fldChar w:fldCharType="separate"/>
      </w:r>
      <w:r>
        <w:rPr>
          <w:rStyle w:val="18"/>
          <w:rFonts w:ascii="仿宋_GB2312" w:eastAsia="仿宋_GB2312"/>
          <w:sz w:val="28"/>
          <w:szCs w:val="28"/>
        </w:rPr>
        <w:t>10.</w:t>
      </w:r>
      <w:r>
        <w:rPr>
          <w:rStyle w:val="18"/>
          <w:rFonts w:hint="eastAsia" w:ascii="仿宋_GB2312" w:eastAsia="仿宋_GB2312"/>
          <w:sz w:val="28"/>
          <w:szCs w:val="28"/>
        </w:rPr>
        <w:t>全域旅游成效显著</w:t>
      </w:r>
      <w:r>
        <w:rPr>
          <w:sz w:val="28"/>
          <w:szCs w:val="28"/>
        </w:rPr>
        <w:tab/>
      </w:r>
      <w:r>
        <w:rPr>
          <w:sz w:val="28"/>
          <w:szCs w:val="28"/>
        </w:rPr>
        <w:fldChar w:fldCharType="begin"/>
      </w:r>
      <w:r>
        <w:rPr>
          <w:sz w:val="28"/>
          <w:szCs w:val="28"/>
        </w:rPr>
        <w:instrText xml:space="preserve"> PAGEREF _Toc118988174 \h </w:instrText>
      </w:r>
      <w:r>
        <w:rPr>
          <w:sz w:val="28"/>
          <w:szCs w:val="28"/>
        </w:rPr>
        <w:fldChar w:fldCharType="separate"/>
      </w:r>
      <w:r>
        <w:rPr>
          <w:sz w:val="28"/>
          <w:szCs w:val="28"/>
        </w:rPr>
        <w:t>10</w:t>
      </w:r>
      <w:r>
        <w:rPr>
          <w:sz w:val="28"/>
          <w:szCs w:val="28"/>
        </w:rPr>
        <w:fldChar w:fldCharType="end"/>
      </w:r>
      <w:r>
        <w:rPr>
          <w:sz w:val="28"/>
          <w:szCs w:val="28"/>
        </w:rPr>
        <w:fldChar w:fldCharType="end"/>
      </w:r>
    </w:p>
    <w:p w14:paraId="769FCF3E">
      <w:pPr>
        <w:pStyle w:val="12"/>
        <w:spacing w:line="460" w:lineRule="exact"/>
        <w:rPr>
          <w:rFonts w:ascii="Times New Roman" w:eastAsia="宋体"/>
        </w:rPr>
      </w:pPr>
      <w:r>
        <w:fldChar w:fldCharType="begin"/>
      </w:r>
      <w:r>
        <w:instrText xml:space="preserve"> HYPERLINK \l "_Toc118988175" </w:instrText>
      </w:r>
      <w:r>
        <w:fldChar w:fldCharType="separate"/>
      </w:r>
      <w:r>
        <w:rPr>
          <w:rStyle w:val="18"/>
          <w:rFonts w:hint="eastAsia" w:ascii="宋体" w:hAnsi="宋体" w:cs="宋体"/>
        </w:rPr>
        <w:t>（二）“十三五”存在的问题</w:t>
      </w:r>
      <w:r>
        <w:tab/>
      </w:r>
      <w:r>
        <w:fldChar w:fldCharType="begin"/>
      </w:r>
      <w:r>
        <w:instrText xml:space="preserve"> PAGEREF _Toc118988175 \h </w:instrText>
      </w:r>
      <w:r>
        <w:fldChar w:fldCharType="separate"/>
      </w:r>
      <w:r>
        <w:t>12</w:t>
      </w:r>
      <w:r>
        <w:fldChar w:fldCharType="end"/>
      </w:r>
      <w:r>
        <w:fldChar w:fldCharType="end"/>
      </w:r>
    </w:p>
    <w:p w14:paraId="3C74917B">
      <w:pPr>
        <w:pStyle w:val="8"/>
        <w:spacing w:line="460" w:lineRule="exact"/>
        <w:rPr>
          <w:sz w:val="28"/>
          <w:szCs w:val="28"/>
        </w:rPr>
      </w:pPr>
      <w:r>
        <w:fldChar w:fldCharType="begin"/>
      </w:r>
      <w:r>
        <w:instrText xml:space="preserve"> HYPERLINK \l "_Toc118988176"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文体设施建设有待完善</w:t>
      </w:r>
      <w:r>
        <w:rPr>
          <w:sz w:val="28"/>
          <w:szCs w:val="28"/>
        </w:rPr>
        <w:tab/>
      </w:r>
      <w:r>
        <w:rPr>
          <w:sz w:val="28"/>
          <w:szCs w:val="28"/>
        </w:rPr>
        <w:fldChar w:fldCharType="begin"/>
      </w:r>
      <w:r>
        <w:rPr>
          <w:sz w:val="28"/>
          <w:szCs w:val="28"/>
        </w:rPr>
        <w:instrText xml:space="preserve"> PAGEREF _Toc118988176 \h </w:instrText>
      </w:r>
      <w:r>
        <w:rPr>
          <w:sz w:val="28"/>
          <w:szCs w:val="28"/>
        </w:rPr>
        <w:fldChar w:fldCharType="separate"/>
      </w:r>
      <w:r>
        <w:rPr>
          <w:sz w:val="28"/>
          <w:szCs w:val="28"/>
        </w:rPr>
        <w:t>12</w:t>
      </w:r>
      <w:r>
        <w:rPr>
          <w:sz w:val="28"/>
          <w:szCs w:val="28"/>
        </w:rPr>
        <w:fldChar w:fldCharType="end"/>
      </w:r>
      <w:r>
        <w:rPr>
          <w:sz w:val="28"/>
          <w:szCs w:val="28"/>
        </w:rPr>
        <w:fldChar w:fldCharType="end"/>
      </w:r>
    </w:p>
    <w:p w14:paraId="6CD2C13D">
      <w:pPr>
        <w:pStyle w:val="8"/>
        <w:spacing w:line="460" w:lineRule="exact"/>
        <w:rPr>
          <w:sz w:val="28"/>
          <w:szCs w:val="28"/>
        </w:rPr>
      </w:pPr>
      <w:r>
        <w:fldChar w:fldCharType="begin"/>
      </w:r>
      <w:r>
        <w:instrText xml:space="preserve"> HYPERLINK \l "_Toc118988177"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全域旅游质效有待升级</w:t>
      </w:r>
      <w:r>
        <w:rPr>
          <w:sz w:val="28"/>
          <w:szCs w:val="28"/>
        </w:rPr>
        <w:tab/>
      </w:r>
      <w:r>
        <w:rPr>
          <w:sz w:val="28"/>
          <w:szCs w:val="28"/>
        </w:rPr>
        <w:fldChar w:fldCharType="begin"/>
      </w:r>
      <w:r>
        <w:rPr>
          <w:sz w:val="28"/>
          <w:szCs w:val="28"/>
        </w:rPr>
        <w:instrText xml:space="preserve"> PAGEREF _Toc118988177 \h </w:instrText>
      </w:r>
      <w:r>
        <w:rPr>
          <w:sz w:val="28"/>
          <w:szCs w:val="28"/>
        </w:rPr>
        <w:fldChar w:fldCharType="separate"/>
      </w:r>
      <w:r>
        <w:rPr>
          <w:sz w:val="28"/>
          <w:szCs w:val="28"/>
        </w:rPr>
        <w:t>12</w:t>
      </w:r>
      <w:r>
        <w:rPr>
          <w:sz w:val="28"/>
          <w:szCs w:val="28"/>
        </w:rPr>
        <w:fldChar w:fldCharType="end"/>
      </w:r>
      <w:r>
        <w:rPr>
          <w:sz w:val="28"/>
          <w:szCs w:val="28"/>
        </w:rPr>
        <w:fldChar w:fldCharType="end"/>
      </w:r>
    </w:p>
    <w:p w14:paraId="37A91767">
      <w:pPr>
        <w:pStyle w:val="8"/>
        <w:spacing w:line="460" w:lineRule="exact"/>
        <w:rPr>
          <w:sz w:val="28"/>
          <w:szCs w:val="28"/>
        </w:rPr>
      </w:pPr>
      <w:r>
        <w:fldChar w:fldCharType="begin"/>
      </w:r>
      <w:r>
        <w:instrText xml:space="preserve"> HYPERLINK \l "_Toc118988178"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体育发展水平有待提升</w:t>
      </w:r>
      <w:r>
        <w:rPr>
          <w:sz w:val="28"/>
          <w:szCs w:val="28"/>
        </w:rPr>
        <w:tab/>
      </w:r>
      <w:r>
        <w:rPr>
          <w:sz w:val="28"/>
          <w:szCs w:val="28"/>
        </w:rPr>
        <w:fldChar w:fldCharType="begin"/>
      </w:r>
      <w:r>
        <w:rPr>
          <w:sz w:val="28"/>
          <w:szCs w:val="28"/>
        </w:rPr>
        <w:instrText xml:space="preserve"> PAGEREF _Toc118988178 \h </w:instrText>
      </w:r>
      <w:r>
        <w:rPr>
          <w:sz w:val="28"/>
          <w:szCs w:val="28"/>
        </w:rPr>
        <w:fldChar w:fldCharType="separate"/>
      </w:r>
      <w:r>
        <w:rPr>
          <w:sz w:val="28"/>
          <w:szCs w:val="28"/>
        </w:rPr>
        <w:t>13</w:t>
      </w:r>
      <w:r>
        <w:rPr>
          <w:sz w:val="28"/>
          <w:szCs w:val="28"/>
        </w:rPr>
        <w:fldChar w:fldCharType="end"/>
      </w:r>
      <w:r>
        <w:rPr>
          <w:sz w:val="28"/>
          <w:szCs w:val="28"/>
        </w:rPr>
        <w:fldChar w:fldCharType="end"/>
      </w:r>
    </w:p>
    <w:p w14:paraId="52173816">
      <w:pPr>
        <w:pStyle w:val="8"/>
        <w:spacing w:line="460" w:lineRule="exact"/>
        <w:rPr>
          <w:sz w:val="28"/>
          <w:szCs w:val="28"/>
        </w:rPr>
      </w:pPr>
      <w:r>
        <w:fldChar w:fldCharType="begin"/>
      </w:r>
      <w:r>
        <w:instrText xml:space="preserve"> HYPERLINK \l "_Toc118988179"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广电建设步伐有待加快</w:t>
      </w:r>
      <w:r>
        <w:rPr>
          <w:sz w:val="28"/>
          <w:szCs w:val="28"/>
        </w:rPr>
        <w:tab/>
      </w:r>
      <w:r>
        <w:rPr>
          <w:sz w:val="28"/>
          <w:szCs w:val="28"/>
        </w:rPr>
        <w:fldChar w:fldCharType="begin"/>
      </w:r>
      <w:r>
        <w:rPr>
          <w:sz w:val="28"/>
          <w:szCs w:val="28"/>
        </w:rPr>
        <w:instrText xml:space="preserve"> PAGEREF _Toc118988179 \h </w:instrText>
      </w:r>
      <w:r>
        <w:rPr>
          <w:sz w:val="28"/>
          <w:szCs w:val="28"/>
        </w:rPr>
        <w:fldChar w:fldCharType="separate"/>
      </w:r>
      <w:r>
        <w:rPr>
          <w:sz w:val="28"/>
          <w:szCs w:val="28"/>
        </w:rPr>
        <w:t>13</w:t>
      </w:r>
      <w:r>
        <w:rPr>
          <w:sz w:val="28"/>
          <w:szCs w:val="28"/>
        </w:rPr>
        <w:fldChar w:fldCharType="end"/>
      </w:r>
      <w:r>
        <w:rPr>
          <w:sz w:val="28"/>
          <w:szCs w:val="28"/>
        </w:rPr>
        <w:fldChar w:fldCharType="end"/>
      </w:r>
    </w:p>
    <w:p w14:paraId="1AD64686">
      <w:pPr>
        <w:pStyle w:val="8"/>
        <w:spacing w:line="460" w:lineRule="exact"/>
        <w:rPr>
          <w:sz w:val="28"/>
          <w:szCs w:val="28"/>
        </w:rPr>
      </w:pPr>
      <w:r>
        <w:fldChar w:fldCharType="begin"/>
      </w:r>
      <w:r>
        <w:instrText xml:space="preserve"> HYPERLINK \l "_Toc118988180"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产业融合深度有待加强</w:t>
      </w:r>
      <w:r>
        <w:rPr>
          <w:sz w:val="28"/>
          <w:szCs w:val="28"/>
        </w:rPr>
        <w:tab/>
      </w:r>
      <w:r>
        <w:rPr>
          <w:sz w:val="28"/>
          <w:szCs w:val="28"/>
        </w:rPr>
        <w:fldChar w:fldCharType="begin"/>
      </w:r>
      <w:r>
        <w:rPr>
          <w:sz w:val="28"/>
          <w:szCs w:val="28"/>
        </w:rPr>
        <w:instrText xml:space="preserve"> PAGEREF _Toc118988180 \h </w:instrText>
      </w:r>
      <w:r>
        <w:rPr>
          <w:sz w:val="28"/>
          <w:szCs w:val="28"/>
        </w:rPr>
        <w:fldChar w:fldCharType="separate"/>
      </w:r>
      <w:r>
        <w:rPr>
          <w:sz w:val="28"/>
          <w:szCs w:val="28"/>
        </w:rPr>
        <w:t>13</w:t>
      </w:r>
      <w:r>
        <w:rPr>
          <w:sz w:val="28"/>
          <w:szCs w:val="28"/>
        </w:rPr>
        <w:fldChar w:fldCharType="end"/>
      </w:r>
      <w:r>
        <w:rPr>
          <w:sz w:val="28"/>
          <w:szCs w:val="28"/>
        </w:rPr>
        <w:fldChar w:fldCharType="end"/>
      </w:r>
    </w:p>
    <w:p w14:paraId="291364F2">
      <w:pPr>
        <w:pStyle w:val="8"/>
        <w:spacing w:line="460" w:lineRule="exact"/>
        <w:rPr>
          <w:sz w:val="28"/>
          <w:szCs w:val="28"/>
        </w:rPr>
      </w:pPr>
      <w:r>
        <w:fldChar w:fldCharType="begin"/>
      </w:r>
      <w:r>
        <w:instrText xml:space="preserve"> HYPERLINK \l "_Toc118988181"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专业人才队伍普遍缺少</w:t>
      </w:r>
      <w:r>
        <w:rPr>
          <w:sz w:val="28"/>
          <w:szCs w:val="28"/>
        </w:rPr>
        <w:tab/>
      </w:r>
      <w:r>
        <w:rPr>
          <w:sz w:val="28"/>
          <w:szCs w:val="28"/>
        </w:rPr>
        <w:fldChar w:fldCharType="begin"/>
      </w:r>
      <w:r>
        <w:rPr>
          <w:sz w:val="28"/>
          <w:szCs w:val="28"/>
        </w:rPr>
        <w:instrText xml:space="preserve"> PAGEREF _Toc118988181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5F9A3EDC">
      <w:pPr>
        <w:pStyle w:val="12"/>
        <w:spacing w:line="460" w:lineRule="exact"/>
        <w:rPr>
          <w:rFonts w:ascii="Times New Roman" w:eastAsia="宋体"/>
        </w:rPr>
      </w:pPr>
      <w:r>
        <w:fldChar w:fldCharType="begin"/>
      </w:r>
      <w:r>
        <w:instrText xml:space="preserve"> HYPERLINK \l "_Toc118988182" </w:instrText>
      </w:r>
      <w:r>
        <w:fldChar w:fldCharType="separate"/>
      </w:r>
      <w:r>
        <w:rPr>
          <w:rStyle w:val="18"/>
          <w:rFonts w:hint="eastAsia" w:ascii="宋体" w:hAnsi="宋体" w:cs="宋体"/>
        </w:rPr>
        <w:t>（三）“十四五”面临的机遇和挑战</w:t>
      </w:r>
      <w:r>
        <w:tab/>
      </w:r>
      <w:r>
        <w:fldChar w:fldCharType="begin"/>
      </w:r>
      <w:r>
        <w:instrText xml:space="preserve"> PAGEREF _Toc118988182 \h </w:instrText>
      </w:r>
      <w:r>
        <w:fldChar w:fldCharType="separate"/>
      </w:r>
      <w:r>
        <w:t>14</w:t>
      </w:r>
      <w:r>
        <w:fldChar w:fldCharType="end"/>
      </w:r>
      <w:r>
        <w:fldChar w:fldCharType="end"/>
      </w:r>
    </w:p>
    <w:p w14:paraId="026C3B4B">
      <w:pPr>
        <w:pStyle w:val="8"/>
        <w:spacing w:line="460" w:lineRule="exact"/>
        <w:rPr>
          <w:sz w:val="28"/>
          <w:szCs w:val="28"/>
        </w:rPr>
      </w:pPr>
      <w:r>
        <w:fldChar w:fldCharType="begin"/>
      </w:r>
      <w:r>
        <w:instrText xml:space="preserve"> HYPERLINK \l "_Toc118988183"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“十四五”面临的机遇</w:t>
      </w:r>
      <w:r>
        <w:rPr>
          <w:sz w:val="28"/>
          <w:szCs w:val="28"/>
        </w:rPr>
        <w:tab/>
      </w:r>
      <w:r>
        <w:rPr>
          <w:sz w:val="28"/>
          <w:szCs w:val="28"/>
        </w:rPr>
        <w:fldChar w:fldCharType="begin"/>
      </w:r>
      <w:r>
        <w:rPr>
          <w:sz w:val="28"/>
          <w:szCs w:val="28"/>
        </w:rPr>
        <w:instrText xml:space="preserve"> PAGEREF _Toc118988183 \h </w:instrText>
      </w:r>
      <w:r>
        <w:rPr>
          <w:sz w:val="28"/>
          <w:szCs w:val="28"/>
        </w:rPr>
        <w:fldChar w:fldCharType="separate"/>
      </w:r>
      <w:r>
        <w:rPr>
          <w:sz w:val="28"/>
          <w:szCs w:val="28"/>
        </w:rPr>
        <w:t>14</w:t>
      </w:r>
      <w:r>
        <w:rPr>
          <w:sz w:val="28"/>
          <w:szCs w:val="28"/>
        </w:rPr>
        <w:fldChar w:fldCharType="end"/>
      </w:r>
      <w:r>
        <w:rPr>
          <w:sz w:val="28"/>
          <w:szCs w:val="28"/>
        </w:rPr>
        <w:fldChar w:fldCharType="end"/>
      </w:r>
    </w:p>
    <w:p w14:paraId="3EC59567">
      <w:pPr>
        <w:pStyle w:val="8"/>
        <w:spacing w:line="460" w:lineRule="exact"/>
        <w:rPr>
          <w:sz w:val="28"/>
          <w:szCs w:val="28"/>
        </w:rPr>
      </w:pPr>
      <w:r>
        <w:fldChar w:fldCharType="begin"/>
      </w:r>
      <w:r>
        <w:instrText xml:space="preserve"> HYPERLINK \l "_Toc118988184"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“十四五”面临的挑战</w:t>
      </w:r>
      <w:r>
        <w:rPr>
          <w:sz w:val="28"/>
          <w:szCs w:val="28"/>
        </w:rPr>
        <w:tab/>
      </w:r>
      <w:r>
        <w:rPr>
          <w:sz w:val="28"/>
          <w:szCs w:val="28"/>
        </w:rPr>
        <w:fldChar w:fldCharType="begin"/>
      </w:r>
      <w:r>
        <w:rPr>
          <w:sz w:val="28"/>
          <w:szCs w:val="28"/>
        </w:rPr>
        <w:instrText xml:space="preserve"> PAGEREF _Toc118988184 \h </w:instrText>
      </w:r>
      <w:r>
        <w:rPr>
          <w:sz w:val="28"/>
          <w:szCs w:val="28"/>
        </w:rPr>
        <w:fldChar w:fldCharType="separate"/>
      </w:r>
      <w:r>
        <w:rPr>
          <w:sz w:val="28"/>
          <w:szCs w:val="28"/>
        </w:rPr>
        <w:t>16</w:t>
      </w:r>
      <w:r>
        <w:rPr>
          <w:sz w:val="28"/>
          <w:szCs w:val="28"/>
        </w:rPr>
        <w:fldChar w:fldCharType="end"/>
      </w:r>
      <w:r>
        <w:rPr>
          <w:sz w:val="28"/>
          <w:szCs w:val="28"/>
        </w:rPr>
        <w:fldChar w:fldCharType="end"/>
      </w:r>
    </w:p>
    <w:p w14:paraId="78C264B4">
      <w:pPr>
        <w:pStyle w:val="11"/>
        <w:spacing w:line="460" w:lineRule="exact"/>
        <w:rPr>
          <w:rFonts w:ascii="Times New Roman" w:eastAsia="宋体"/>
          <w:b w:val="0"/>
          <w:bCs w:val="0"/>
          <w:caps w:val="0"/>
          <w:sz w:val="28"/>
        </w:rPr>
      </w:pPr>
      <w:r>
        <w:fldChar w:fldCharType="begin"/>
      </w:r>
      <w:r>
        <w:instrText xml:space="preserve"> HYPERLINK \l "_Toc118988185" </w:instrText>
      </w:r>
      <w:r>
        <w:fldChar w:fldCharType="separate"/>
      </w:r>
      <w:r>
        <w:rPr>
          <w:rStyle w:val="18"/>
          <w:rFonts w:hint="eastAsia" w:ascii="微软雅黑" w:hAnsi="微软雅黑" w:eastAsia="微软雅黑" w:cs="微软雅黑"/>
          <w:sz w:val="28"/>
        </w:rPr>
        <w:t>二、总体要求</w:t>
      </w:r>
      <w:r>
        <w:rPr>
          <w:sz w:val="28"/>
        </w:rPr>
        <w:tab/>
      </w:r>
      <w:r>
        <w:rPr>
          <w:sz w:val="28"/>
        </w:rPr>
        <w:fldChar w:fldCharType="begin"/>
      </w:r>
      <w:r>
        <w:rPr>
          <w:sz w:val="28"/>
        </w:rPr>
        <w:instrText xml:space="preserve"> PAGEREF _Toc118988185 \h </w:instrText>
      </w:r>
      <w:r>
        <w:rPr>
          <w:sz w:val="28"/>
        </w:rPr>
        <w:fldChar w:fldCharType="separate"/>
      </w:r>
      <w:r>
        <w:rPr>
          <w:sz w:val="28"/>
        </w:rPr>
        <w:t>18</w:t>
      </w:r>
      <w:r>
        <w:rPr>
          <w:sz w:val="28"/>
        </w:rPr>
        <w:fldChar w:fldCharType="end"/>
      </w:r>
      <w:r>
        <w:rPr>
          <w:sz w:val="28"/>
        </w:rPr>
        <w:fldChar w:fldCharType="end"/>
      </w:r>
    </w:p>
    <w:p w14:paraId="10E7FBD4">
      <w:pPr>
        <w:pStyle w:val="12"/>
        <w:spacing w:line="460" w:lineRule="exact"/>
        <w:rPr>
          <w:rFonts w:ascii="Times New Roman" w:eastAsia="宋体"/>
        </w:rPr>
      </w:pPr>
      <w:r>
        <w:fldChar w:fldCharType="begin"/>
      </w:r>
      <w:r>
        <w:instrText xml:space="preserve"> HYPERLINK \l "_Toc118988186" </w:instrText>
      </w:r>
      <w:r>
        <w:fldChar w:fldCharType="separate"/>
      </w:r>
      <w:r>
        <w:rPr>
          <w:rStyle w:val="18"/>
          <w:rFonts w:hint="eastAsia" w:ascii="宋体" w:hAnsi="宋体" w:cs="宋体"/>
        </w:rPr>
        <w:t>（一）指导思想</w:t>
      </w:r>
      <w:r>
        <w:tab/>
      </w:r>
      <w:r>
        <w:fldChar w:fldCharType="begin"/>
      </w:r>
      <w:r>
        <w:instrText xml:space="preserve"> PAGEREF _Toc118988186 \h </w:instrText>
      </w:r>
      <w:r>
        <w:fldChar w:fldCharType="separate"/>
      </w:r>
      <w:r>
        <w:t>18</w:t>
      </w:r>
      <w:r>
        <w:fldChar w:fldCharType="end"/>
      </w:r>
      <w:r>
        <w:fldChar w:fldCharType="end"/>
      </w:r>
    </w:p>
    <w:p w14:paraId="5F2FE43F">
      <w:pPr>
        <w:pStyle w:val="12"/>
        <w:spacing w:line="460" w:lineRule="exact"/>
        <w:rPr>
          <w:rFonts w:ascii="Times New Roman" w:eastAsia="宋体"/>
        </w:rPr>
      </w:pPr>
      <w:r>
        <w:fldChar w:fldCharType="begin"/>
      </w:r>
      <w:r>
        <w:instrText xml:space="preserve"> HYPERLINK \l "_Toc118988187" </w:instrText>
      </w:r>
      <w:r>
        <w:fldChar w:fldCharType="separate"/>
      </w:r>
      <w:r>
        <w:rPr>
          <w:rStyle w:val="18"/>
          <w:rFonts w:hint="eastAsia" w:ascii="宋体" w:hAnsi="宋体" w:cs="宋体"/>
        </w:rPr>
        <w:t>（二）基本原则</w:t>
      </w:r>
      <w:r>
        <w:tab/>
      </w:r>
      <w:r>
        <w:fldChar w:fldCharType="begin"/>
      </w:r>
      <w:r>
        <w:instrText xml:space="preserve"> PAGEREF _Toc118988187 \h </w:instrText>
      </w:r>
      <w:r>
        <w:fldChar w:fldCharType="separate"/>
      </w:r>
      <w:r>
        <w:t>19</w:t>
      </w:r>
      <w:r>
        <w:fldChar w:fldCharType="end"/>
      </w:r>
      <w:r>
        <w:fldChar w:fldCharType="end"/>
      </w:r>
    </w:p>
    <w:p w14:paraId="01BB68E5">
      <w:pPr>
        <w:pStyle w:val="12"/>
        <w:spacing w:line="460" w:lineRule="exact"/>
        <w:rPr>
          <w:rFonts w:ascii="Times New Roman" w:eastAsia="宋体"/>
        </w:rPr>
      </w:pPr>
      <w:r>
        <w:fldChar w:fldCharType="begin"/>
      </w:r>
      <w:r>
        <w:instrText xml:space="preserve"> HYPERLINK \l "_Toc118988188" </w:instrText>
      </w:r>
      <w:r>
        <w:fldChar w:fldCharType="separate"/>
      </w:r>
      <w:r>
        <w:rPr>
          <w:rStyle w:val="18"/>
          <w:rFonts w:hint="eastAsia" w:ascii="宋体" w:hAnsi="宋体" w:cs="宋体"/>
        </w:rPr>
        <w:t>（三）总体目标</w:t>
      </w:r>
      <w:r>
        <w:tab/>
      </w:r>
      <w:r>
        <w:fldChar w:fldCharType="begin"/>
      </w:r>
      <w:r>
        <w:instrText xml:space="preserve"> PAGEREF _Toc118988188 \h </w:instrText>
      </w:r>
      <w:r>
        <w:fldChar w:fldCharType="separate"/>
      </w:r>
      <w:r>
        <w:t>21</w:t>
      </w:r>
      <w:r>
        <w:fldChar w:fldCharType="end"/>
      </w:r>
      <w:r>
        <w:fldChar w:fldCharType="end"/>
      </w:r>
    </w:p>
    <w:p w14:paraId="0C91CB09">
      <w:pPr>
        <w:pStyle w:val="12"/>
        <w:spacing w:line="460" w:lineRule="exact"/>
        <w:rPr>
          <w:rFonts w:ascii="Times New Roman" w:eastAsia="宋体"/>
        </w:rPr>
      </w:pPr>
      <w:r>
        <w:fldChar w:fldCharType="begin"/>
      </w:r>
      <w:r>
        <w:instrText xml:space="preserve"> HYPERLINK \l "_Toc118988189" </w:instrText>
      </w:r>
      <w:r>
        <w:fldChar w:fldCharType="separate"/>
      </w:r>
      <w:r>
        <w:rPr>
          <w:rStyle w:val="18"/>
          <w:rFonts w:hint="eastAsia" w:ascii="宋体" w:hAnsi="宋体" w:cs="宋体"/>
        </w:rPr>
        <w:t>（四）分项目标</w:t>
      </w:r>
      <w:r>
        <w:tab/>
      </w:r>
      <w:r>
        <w:fldChar w:fldCharType="begin"/>
      </w:r>
      <w:r>
        <w:instrText xml:space="preserve"> PAGEREF _Toc118988189 \h </w:instrText>
      </w:r>
      <w:r>
        <w:fldChar w:fldCharType="separate"/>
      </w:r>
      <w:r>
        <w:t>21</w:t>
      </w:r>
      <w:r>
        <w:fldChar w:fldCharType="end"/>
      </w:r>
      <w:r>
        <w:fldChar w:fldCharType="end"/>
      </w:r>
    </w:p>
    <w:p w14:paraId="502889DC">
      <w:pPr>
        <w:pStyle w:val="12"/>
        <w:spacing w:line="460" w:lineRule="exact"/>
        <w:rPr>
          <w:rFonts w:ascii="Times New Roman" w:eastAsia="宋体"/>
        </w:rPr>
      </w:pPr>
      <w:r>
        <w:fldChar w:fldCharType="begin"/>
      </w:r>
      <w:r>
        <w:instrText xml:space="preserve"> HYPERLINK \l "_Toc118988190" </w:instrText>
      </w:r>
      <w:r>
        <w:fldChar w:fldCharType="separate"/>
      </w:r>
      <w:r>
        <w:rPr>
          <w:rStyle w:val="18"/>
          <w:rFonts w:hint="eastAsia" w:ascii="宋体" w:hAnsi="宋体" w:cs="宋体"/>
        </w:rPr>
        <w:t>（五）功能布局</w:t>
      </w:r>
      <w:r>
        <w:tab/>
      </w:r>
      <w:r>
        <w:fldChar w:fldCharType="begin"/>
      </w:r>
      <w:r>
        <w:instrText xml:space="preserve"> PAGEREF _Toc118988190 \h </w:instrText>
      </w:r>
      <w:r>
        <w:fldChar w:fldCharType="separate"/>
      </w:r>
      <w:r>
        <w:t>24</w:t>
      </w:r>
      <w:r>
        <w:fldChar w:fldCharType="end"/>
      </w:r>
      <w:r>
        <w:fldChar w:fldCharType="end"/>
      </w:r>
    </w:p>
    <w:p w14:paraId="767CF3EE">
      <w:pPr>
        <w:pStyle w:val="8"/>
        <w:spacing w:line="460" w:lineRule="exact"/>
        <w:rPr>
          <w:sz w:val="28"/>
          <w:szCs w:val="28"/>
        </w:rPr>
      </w:pPr>
      <w:r>
        <w:fldChar w:fldCharType="begin"/>
      </w:r>
      <w:r>
        <w:instrText xml:space="preserve"> HYPERLINK \l "_Toc118988191"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五大文化旅游区</w:t>
      </w:r>
      <w:r>
        <w:rPr>
          <w:sz w:val="28"/>
          <w:szCs w:val="28"/>
        </w:rPr>
        <w:tab/>
      </w:r>
      <w:r>
        <w:rPr>
          <w:sz w:val="28"/>
          <w:szCs w:val="28"/>
        </w:rPr>
        <w:fldChar w:fldCharType="begin"/>
      </w:r>
      <w:r>
        <w:rPr>
          <w:sz w:val="28"/>
          <w:szCs w:val="28"/>
        </w:rPr>
        <w:instrText xml:space="preserve"> PAGEREF _Toc118988191 \h </w:instrText>
      </w:r>
      <w:r>
        <w:rPr>
          <w:sz w:val="28"/>
          <w:szCs w:val="28"/>
        </w:rPr>
        <w:fldChar w:fldCharType="separate"/>
      </w:r>
      <w:r>
        <w:rPr>
          <w:sz w:val="28"/>
          <w:szCs w:val="28"/>
        </w:rPr>
        <w:t>25</w:t>
      </w:r>
      <w:r>
        <w:rPr>
          <w:sz w:val="28"/>
          <w:szCs w:val="28"/>
        </w:rPr>
        <w:fldChar w:fldCharType="end"/>
      </w:r>
      <w:r>
        <w:rPr>
          <w:sz w:val="28"/>
          <w:szCs w:val="28"/>
        </w:rPr>
        <w:fldChar w:fldCharType="end"/>
      </w:r>
    </w:p>
    <w:p w14:paraId="500BFFAB">
      <w:pPr>
        <w:pStyle w:val="8"/>
        <w:spacing w:line="460" w:lineRule="exact"/>
        <w:rPr>
          <w:sz w:val="28"/>
          <w:szCs w:val="28"/>
        </w:rPr>
      </w:pPr>
      <w:r>
        <w:fldChar w:fldCharType="begin"/>
      </w:r>
      <w:r>
        <w:instrText xml:space="preserve"> HYPERLINK \l "_Toc118988192"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四大特色旅游板块</w:t>
      </w:r>
      <w:r>
        <w:rPr>
          <w:sz w:val="28"/>
          <w:szCs w:val="28"/>
        </w:rPr>
        <w:tab/>
      </w:r>
      <w:r>
        <w:rPr>
          <w:sz w:val="28"/>
          <w:szCs w:val="28"/>
        </w:rPr>
        <w:fldChar w:fldCharType="begin"/>
      </w:r>
      <w:r>
        <w:rPr>
          <w:sz w:val="28"/>
          <w:szCs w:val="28"/>
        </w:rPr>
        <w:instrText xml:space="preserve"> PAGEREF _Toc118988192 \h </w:instrText>
      </w:r>
      <w:r>
        <w:rPr>
          <w:sz w:val="28"/>
          <w:szCs w:val="28"/>
        </w:rPr>
        <w:fldChar w:fldCharType="separate"/>
      </w:r>
      <w:r>
        <w:rPr>
          <w:sz w:val="28"/>
          <w:szCs w:val="28"/>
        </w:rPr>
        <w:t>28</w:t>
      </w:r>
      <w:r>
        <w:rPr>
          <w:sz w:val="28"/>
          <w:szCs w:val="28"/>
        </w:rPr>
        <w:fldChar w:fldCharType="end"/>
      </w:r>
      <w:r>
        <w:rPr>
          <w:sz w:val="28"/>
          <w:szCs w:val="28"/>
        </w:rPr>
        <w:fldChar w:fldCharType="end"/>
      </w:r>
    </w:p>
    <w:p w14:paraId="58945D0D">
      <w:pPr>
        <w:pStyle w:val="11"/>
        <w:spacing w:line="460" w:lineRule="exact"/>
        <w:rPr>
          <w:rFonts w:ascii="Times New Roman" w:eastAsia="宋体"/>
          <w:b w:val="0"/>
          <w:bCs w:val="0"/>
          <w:caps w:val="0"/>
          <w:sz w:val="28"/>
        </w:rPr>
      </w:pPr>
      <w:r>
        <w:fldChar w:fldCharType="begin"/>
      </w:r>
      <w:r>
        <w:instrText xml:space="preserve"> HYPERLINK \l "_Toc118988193" </w:instrText>
      </w:r>
      <w:r>
        <w:fldChar w:fldCharType="separate"/>
      </w:r>
      <w:r>
        <w:rPr>
          <w:rStyle w:val="18"/>
          <w:rFonts w:hint="eastAsia" w:ascii="微软雅黑" w:hAnsi="微软雅黑" w:eastAsia="微软雅黑" w:cs="微软雅黑"/>
          <w:sz w:val="28"/>
        </w:rPr>
        <w:t>三、重点任务</w:t>
      </w:r>
      <w:r>
        <w:rPr>
          <w:sz w:val="28"/>
        </w:rPr>
        <w:tab/>
      </w:r>
      <w:r>
        <w:rPr>
          <w:sz w:val="28"/>
        </w:rPr>
        <w:fldChar w:fldCharType="begin"/>
      </w:r>
      <w:r>
        <w:rPr>
          <w:sz w:val="28"/>
        </w:rPr>
        <w:instrText xml:space="preserve"> PAGEREF _Toc118988193 \h </w:instrText>
      </w:r>
      <w:r>
        <w:rPr>
          <w:sz w:val="28"/>
        </w:rPr>
        <w:fldChar w:fldCharType="separate"/>
      </w:r>
      <w:r>
        <w:rPr>
          <w:sz w:val="28"/>
        </w:rPr>
        <w:t>32</w:t>
      </w:r>
      <w:r>
        <w:rPr>
          <w:sz w:val="28"/>
        </w:rPr>
        <w:fldChar w:fldCharType="end"/>
      </w:r>
      <w:r>
        <w:rPr>
          <w:sz w:val="28"/>
        </w:rPr>
        <w:fldChar w:fldCharType="end"/>
      </w:r>
    </w:p>
    <w:p w14:paraId="696C5D79">
      <w:pPr>
        <w:pStyle w:val="12"/>
        <w:spacing w:line="460" w:lineRule="exact"/>
        <w:rPr>
          <w:rFonts w:ascii="Times New Roman" w:eastAsia="宋体"/>
        </w:rPr>
      </w:pPr>
      <w:r>
        <w:fldChar w:fldCharType="begin"/>
      </w:r>
      <w:r>
        <w:instrText xml:space="preserve"> HYPERLINK \l "_Toc118988194" </w:instrText>
      </w:r>
      <w:r>
        <w:fldChar w:fldCharType="separate"/>
      </w:r>
      <w:r>
        <w:rPr>
          <w:rStyle w:val="18"/>
          <w:rFonts w:hint="eastAsia" w:ascii="宋体" w:hAnsi="宋体" w:cs="宋体"/>
        </w:rPr>
        <w:t>（一）夯实文化本底，提升鄂州文化实力</w:t>
      </w:r>
      <w:r>
        <w:tab/>
      </w:r>
      <w:r>
        <w:fldChar w:fldCharType="begin"/>
      </w:r>
      <w:r>
        <w:instrText xml:space="preserve"> PAGEREF _Toc118988194 \h </w:instrText>
      </w:r>
      <w:r>
        <w:fldChar w:fldCharType="separate"/>
      </w:r>
      <w:r>
        <w:t>33</w:t>
      </w:r>
      <w:r>
        <w:fldChar w:fldCharType="end"/>
      </w:r>
      <w:r>
        <w:fldChar w:fldCharType="end"/>
      </w:r>
    </w:p>
    <w:p w14:paraId="506BC98C">
      <w:pPr>
        <w:pStyle w:val="8"/>
        <w:spacing w:line="460" w:lineRule="exact"/>
        <w:rPr>
          <w:sz w:val="28"/>
          <w:szCs w:val="28"/>
        </w:rPr>
      </w:pPr>
      <w:r>
        <w:fldChar w:fldCharType="begin"/>
      </w:r>
      <w:r>
        <w:instrText xml:space="preserve"> HYPERLINK \l "_Toc118988195"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加强文物保护与利用</w:t>
      </w:r>
      <w:r>
        <w:rPr>
          <w:sz w:val="28"/>
          <w:szCs w:val="28"/>
        </w:rPr>
        <w:tab/>
      </w:r>
      <w:r>
        <w:rPr>
          <w:sz w:val="28"/>
          <w:szCs w:val="28"/>
        </w:rPr>
        <w:fldChar w:fldCharType="begin"/>
      </w:r>
      <w:r>
        <w:rPr>
          <w:sz w:val="28"/>
          <w:szCs w:val="28"/>
        </w:rPr>
        <w:instrText xml:space="preserve"> PAGEREF _Toc118988195 \h </w:instrText>
      </w:r>
      <w:r>
        <w:rPr>
          <w:sz w:val="28"/>
          <w:szCs w:val="28"/>
        </w:rPr>
        <w:fldChar w:fldCharType="separate"/>
      </w:r>
      <w:r>
        <w:rPr>
          <w:sz w:val="28"/>
          <w:szCs w:val="28"/>
        </w:rPr>
        <w:t>33</w:t>
      </w:r>
      <w:r>
        <w:rPr>
          <w:sz w:val="28"/>
          <w:szCs w:val="28"/>
        </w:rPr>
        <w:fldChar w:fldCharType="end"/>
      </w:r>
      <w:r>
        <w:rPr>
          <w:sz w:val="28"/>
          <w:szCs w:val="28"/>
        </w:rPr>
        <w:fldChar w:fldCharType="end"/>
      </w:r>
    </w:p>
    <w:p w14:paraId="4AE5CD97">
      <w:pPr>
        <w:pStyle w:val="8"/>
        <w:spacing w:line="460" w:lineRule="exact"/>
        <w:rPr>
          <w:sz w:val="28"/>
          <w:szCs w:val="28"/>
        </w:rPr>
      </w:pPr>
      <w:r>
        <w:fldChar w:fldCharType="begin"/>
      </w:r>
      <w:r>
        <w:instrText xml:space="preserve"> HYPERLINK \l "_Toc118988196"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强化非物质文化遗产保护与传承</w:t>
      </w:r>
      <w:r>
        <w:rPr>
          <w:sz w:val="28"/>
          <w:szCs w:val="28"/>
        </w:rPr>
        <w:tab/>
      </w:r>
      <w:r>
        <w:rPr>
          <w:sz w:val="28"/>
          <w:szCs w:val="28"/>
        </w:rPr>
        <w:fldChar w:fldCharType="begin"/>
      </w:r>
      <w:r>
        <w:rPr>
          <w:sz w:val="28"/>
          <w:szCs w:val="28"/>
        </w:rPr>
        <w:instrText xml:space="preserve"> PAGEREF _Toc118988196 \h </w:instrText>
      </w:r>
      <w:r>
        <w:rPr>
          <w:sz w:val="28"/>
          <w:szCs w:val="28"/>
        </w:rPr>
        <w:fldChar w:fldCharType="separate"/>
      </w:r>
      <w:r>
        <w:rPr>
          <w:sz w:val="28"/>
          <w:szCs w:val="28"/>
        </w:rPr>
        <w:t>37</w:t>
      </w:r>
      <w:r>
        <w:rPr>
          <w:sz w:val="28"/>
          <w:szCs w:val="28"/>
        </w:rPr>
        <w:fldChar w:fldCharType="end"/>
      </w:r>
      <w:r>
        <w:rPr>
          <w:sz w:val="28"/>
          <w:szCs w:val="28"/>
        </w:rPr>
        <w:fldChar w:fldCharType="end"/>
      </w:r>
    </w:p>
    <w:p w14:paraId="777CFE1B">
      <w:pPr>
        <w:pStyle w:val="8"/>
        <w:spacing w:line="460" w:lineRule="exact"/>
        <w:rPr>
          <w:sz w:val="28"/>
          <w:szCs w:val="28"/>
        </w:rPr>
      </w:pPr>
      <w:r>
        <w:fldChar w:fldCharType="begin"/>
      </w:r>
      <w:r>
        <w:instrText xml:space="preserve"> HYPERLINK \l "_Toc118988197"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繁荣文艺创作和生产</w:t>
      </w:r>
      <w:r>
        <w:rPr>
          <w:sz w:val="28"/>
          <w:szCs w:val="28"/>
        </w:rPr>
        <w:tab/>
      </w:r>
      <w:r>
        <w:rPr>
          <w:sz w:val="28"/>
          <w:szCs w:val="28"/>
        </w:rPr>
        <w:fldChar w:fldCharType="begin"/>
      </w:r>
      <w:r>
        <w:rPr>
          <w:sz w:val="28"/>
          <w:szCs w:val="28"/>
        </w:rPr>
        <w:instrText xml:space="preserve"> PAGEREF _Toc118988197 \h </w:instrText>
      </w:r>
      <w:r>
        <w:rPr>
          <w:sz w:val="28"/>
          <w:szCs w:val="28"/>
        </w:rPr>
        <w:fldChar w:fldCharType="separate"/>
      </w:r>
      <w:r>
        <w:rPr>
          <w:sz w:val="28"/>
          <w:szCs w:val="28"/>
        </w:rPr>
        <w:t>38</w:t>
      </w:r>
      <w:r>
        <w:rPr>
          <w:sz w:val="28"/>
          <w:szCs w:val="28"/>
        </w:rPr>
        <w:fldChar w:fldCharType="end"/>
      </w:r>
      <w:r>
        <w:rPr>
          <w:sz w:val="28"/>
          <w:szCs w:val="28"/>
        </w:rPr>
        <w:fldChar w:fldCharType="end"/>
      </w:r>
    </w:p>
    <w:p w14:paraId="40FF2B3A">
      <w:pPr>
        <w:pStyle w:val="8"/>
        <w:spacing w:line="460" w:lineRule="exact"/>
        <w:rPr>
          <w:sz w:val="28"/>
          <w:szCs w:val="28"/>
        </w:rPr>
      </w:pPr>
      <w:r>
        <w:fldChar w:fldCharType="begin"/>
      </w:r>
      <w:r>
        <w:instrText xml:space="preserve"> HYPERLINK \l "_Toc118988198"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增强文化产业竞争力</w:t>
      </w:r>
      <w:r>
        <w:rPr>
          <w:sz w:val="28"/>
          <w:szCs w:val="28"/>
        </w:rPr>
        <w:tab/>
      </w:r>
      <w:r>
        <w:rPr>
          <w:sz w:val="28"/>
          <w:szCs w:val="28"/>
        </w:rPr>
        <w:fldChar w:fldCharType="begin"/>
      </w:r>
      <w:r>
        <w:rPr>
          <w:sz w:val="28"/>
          <w:szCs w:val="28"/>
        </w:rPr>
        <w:instrText xml:space="preserve"> PAGEREF _Toc118988198 \h </w:instrText>
      </w:r>
      <w:r>
        <w:rPr>
          <w:sz w:val="28"/>
          <w:szCs w:val="28"/>
        </w:rPr>
        <w:fldChar w:fldCharType="separate"/>
      </w:r>
      <w:r>
        <w:rPr>
          <w:sz w:val="28"/>
          <w:szCs w:val="28"/>
        </w:rPr>
        <w:t>40</w:t>
      </w:r>
      <w:r>
        <w:rPr>
          <w:sz w:val="28"/>
          <w:szCs w:val="28"/>
        </w:rPr>
        <w:fldChar w:fldCharType="end"/>
      </w:r>
      <w:r>
        <w:rPr>
          <w:sz w:val="28"/>
          <w:szCs w:val="28"/>
        </w:rPr>
        <w:fldChar w:fldCharType="end"/>
      </w:r>
    </w:p>
    <w:p w14:paraId="03699310">
      <w:pPr>
        <w:pStyle w:val="8"/>
        <w:spacing w:line="460" w:lineRule="exact"/>
        <w:rPr>
          <w:sz w:val="28"/>
          <w:szCs w:val="28"/>
        </w:rPr>
      </w:pPr>
      <w:r>
        <w:fldChar w:fldCharType="begin"/>
      </w:r>
      <w:r>
        <w:instrText xml:space="preserve"> HYPERLINK \l "_Toc118988199"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推进文化和旅游深度融合</w:t>
      </w:r>
      <w:r>
        <w:rPr>
          <w:sz w:val="28"/>
          <w:szCs w:val="28"/>
        </w:rPr>
        <w:tab/>
      </w:r>
      <w:r>
        <w:rPr>
          <w:sz w:val="28"/>
          <w:szCs w:val="28"/>
        </w:rPr>
        <w:fldChar w:fldCharType="begin"/>
      </w:r>
      <w:r>
        <w:rPr>
          <w:sz w:val="28"/>
          <w:szCs w:val="28"/>
        </w:rPr>
        <w:instrText xml:space="preserve"> PAGEREF _Toc118988199 \h </w:instrText>
      </w:r>
      <w:r>
        <w:rPr>
          <w:sz w:val="28"/>
          <w:szCs w:val="28"/>
        </w:rPr>
        <w:fldChar w:fldCharType="separate"/>
      </w:r>
      <w:r>
        <w:rPr>
          <w:sz w:val="28"/>
          <w:szCs w:val="28"/>
        </w:rPr>
        <w:t>44</w:t>
      </w:r>
      <w:r>
        <w:rPr>
          <w:sz w:val="28"/>
          <w:szCs w:val="28"/>
        </w:rPr>
        <w:fldChar w:fldCharType="end"/>
      </w:r>
      <w:r>
        <w:rPr>
          <w:sz w:val="28"/>
          <w:szCs w:val="28"/>
        </w:rPr>
        <w:fldChar w:fldCharType="end"/>
      </w:r>
    </w:p>
    <w:p w14:paraId="0A0CE0D8">
      <w:pPr>
        <w:pStyle w:val="8"/>
        <w:spacing w:line="460" w:lineRule="exact"/>
        <w:rPr>
          <w:sz w:val="28"/>
          <w:szCs w:val="28"/>
        </w:rPr>
      </w:pPr>
      <w:r>
        <w:fldChar w:fldCharType="begin"/>
      </w:r>
      <w:r>
        <w:instrText xml:space="preserve"> HYPERLINK \l "_Toc118988200"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开展多层次文化交流</w:t>
      </w:r>
      <w:r>
        <w:rPr>
          <w:sz w:val="28"/>
          <w:szCs w:val="28"/>
        </w:rPr>
        <w:tab/>
      </w:r>
      <w:r>
        <w:rPr>
          <w:sz w:val="28"/>
          <w:szCs w:val="28"/>
        </w:rPr>
        <w:fldChar w:fldCharType="begin"/>
      </w:r>
      <w:r>
        <w:rPr>
          <w:sz w:val="28"/>
          <w:szCs w:val="28"/>
        </w:rPr>
        <w:instrText xml:space="preserve"> PAGEREF _Toc118988200 \h </w:instrText>
      </w:r>
      <w:r>
        <w:rPr>
          <w:sz w:val="28"/>
          <w:szCs w:val="28"/>
        </w:rPr>
        <w:fldChar w:fldCharType="separate"/>
      </w:r>
      <w:r>
        <w:rPr>
          <w:sz w:val="28"/>
          <w:szCs w:val="28"/>
        </w:rPr>
        <w:t>44</w:t>
      </w:r>
      <w:r>
        <w:rPr>
          <w:sz w:val="28"/>
          <w:szCs w:val="28"/>
        </w:rPr>
        <w:fldChar w:fldCharType="end"/>
      </w:r>
      <w:r>
        <w:rPr>
          <w:sz w:val="28"/>
          <w:szCs w:val="28"/>
        </w:rPr>
        <w:fldChar w:fldCharType="end"/>
      </w:r>
    </w:p>
    <w:p w14:paraId="7315A1FF">
      <w:pPr>
        <w:pStyle w:val="12"/>
        <w:spacing w:line="460" w:lineRule="exact"/>
        <w:rPr>
          <w:rFonts w:ascii="Times New Roman" w:eastAsia="宋体"/>
        </w:rPr>
      </w:pPr>
      <w:r>
        <w:fldChar w:fldCharType="begin"/>
      </w:r>
      <w:r>
        <w:instrText xml:space="preserve"> HYPERLINK \l "_Toc118988201" </w:instrText>
      </w:r>
      <w:r>
        <w:fldChar w:fldCharType="separate"/>
      </w:r>
      <w:r>
        <w:rPr>
          <w:rStyle w:val="18"/>
          <w:rFonts w:hint="eastAsia"/>
        </w:rPr>
        <w:t>（二）</w:t>
      </w:r>
      <w:r>
        <w:rPr>
          <w:rStyle w:val="18"/>
          <w:rFonts w:hint="eastAsia" w:ascii="宋体" w:hAnsi="宋体" w:cs="宋体"/>
        </w:rPr>
        <w:t>升级旅游产业，提升全域旅游发展质效</w:t>
      </w:r>
      <w:r>
        <w:tab/>
      </w:r>
      <w:r>
        <w:fldChar w:fldCharType="begin"/>
      </w:r>
      <w:r>
        <w:instrText xml:space="preserve"> PAGEREF _Toc118988201 \h </w:instrText>
      </w:r>
      <w:r>
        <w:fldChar w:fldCharType="separate"/>
      </w:r>
      <w:r>
        <w:t>46</w:t>
      </w:r>
      <w:r>
        <w:fldChar w:fldCharType="end"/>
      </w:r>
      <w:r>
        <w:fldChar w:fldCharType="end"/>
      </w:r>
    </w:p>
    <w:p w14:paraId="30DCF570">
      <w:pPr>
        <w:pStyle w:val="8"/>
        <w:spacing w:line="460" w:lineRule="exact"/>
        <w:rPr>
          <w:sz w:val="28"/>
          <w:szCs w:val="28"/>
        </w:rPr>
      </w:pPr>
      <w:r>
        <w:fldChar w:fldCharType="begin"/>
      </w:r>
      <w:r>
        <w:instrText xml:space="preserve"> HYPERLINK \l "_Toc118988202"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提升旅游产品供给</w:t>
      </w:r>
      <w:r>
        <w:rPr>
          <w:sz w:val="28"/>
          <w:szCs w:val="28"/>
        </w:rPr>
        <w:tab/>
      </w:r>
      <w:r>
        <w:rPr>
          <w:sz w:val="28"/>
          <w:szCs w:val="28"/>
        </w:rPr>
        <w:fldChar w:fldCharType="begin"/>
      </w:r>
      <w:r>
        <w:rPr>
          <w:sz w:val="28"/>
          <w:szCs w:val="28"/>
        </w:rPr>
        <w:instrText xml:space="preserve"> PAGEREF _Toc118988202 \h </w:instrText>
      </w:r>
      <w:r>
        <w:rPr>
          <w:sz w:val="28"/>
          <w:szCs w:val="28"/>
        </w:rPr>
        <w:fldChar w:fldCharType="separate"/>
      </w:r>
      <w:r>
        <w:rPr>
          <w:sz w:val="28"/>
          <w:szCs w:val="28"/>
        </w:rPr>
        <w:t>46</w:t>
      </w:r>
      <w:r>
        <w:rPr>
          <w:sz w:val="28"/>
          <w:szCs w:val="28"/>
        </w:rPr>
        <w:fldChar w:fldCharType="end"/>
      </w:r>
      <w:r>
        <w:rPr>
          <w:sz w:val="28"/>
          <w:szCs w:val="28"/>
        </w:rPr>
        <w:fldChar w:fldCharType="end"/>
      </w:r>
    </w:p>
    <w:p w14:paraId="1FDC1DD3">
      <w:pPr>
        <w:pStyle w:val="8"/>
        <w:spacing w:line="460" w:lineRule="exact"/>
        <w:rPr>
          <w:sz w:val="28"/>
          <w:szCs w:val="28"/>
        </w:rPr>
      </w:pPr>
      <w:r>
        <w:fldChar w:fldCharType="begin"/>
      </w:r>
      <w:r>
        <w:instrText xml:space="preserve"> HYPERLINK \l "_Toc118988203"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强化旅游市场营销</w:t>
      </w:r>
      <w:r>
        <w:rPr>
          <w:sz w:val="28"/>
          <w:szCs w:val="28"/>
        </w:rPr>
        <w:tab/>
      </w:r>
      <w:r>
        <w:rPr>
          <w:sz w:val="28"/>
          <w:szCs w:val="28"/>
        </w:rPr>
        <w:fldChar w:fldCharType="begin"/>
      </w:r>
      <w:r>
        <w:rPr>
          <w:sz w:val="28"/>
          <w:szCs w:val="28"/>
        </w:rPr>
        <w:instrText xml:space="preserve"> PAGEREF _Toc118988203 \h </w:instrText>
      </w:r>
      <w:r>
        <w:rPr>
          <w:sz w:val="28"/>
          <w:szCs w:val="28"/>
        </w:rPr>
        <w:fldChar w:fldCharType="separate"/>
      </w:r>
      <w:r>
        <w:rPr>
          <w:sz w:val="28"/>
          <w:szCs w:val="28"/>
        </w:rPr>
        <w:t>51</w:t>
      </w:r>
      <w:r>
        <w:rPr>
          <w:sz w:val="28"/>
          <w:szCs w:val="28"/>
        </w:rPr>
        <w:fldChar w:fldCharType="end"/>
      </w:r>
      <w:r>
        <w:rPr>
          <w:sz w:val="28"/>
          <w:szCs w:val="28"/>
        </w:rPr>
        <w:fldChar w:fldCharType="end"/>
      </w:r>
    </w:p>
    <w:p w14:paraId="303D520D">
      <w:pPr>
        <w:pStyle w:val="8"/>
        <w:spacing w:line="460" w:lineRule="exact"/>
        <w:rPr>
          <w:sz w:val="28"/>
          <w:szCs w:val="28"/>
        </w:rPr>
      </w:pPr>
      <w:r>
        <w:fldChar w:fldCharType="begin"/>
      </w:r>
      <w:r>
        <w:instrText xml:space="preserve"> HYPERLINK \l "_Toc118988204"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完善旅游配套设施</w:t>
      </w:r>
      <w:r>
        <w:rPr>
          <w:sz w:val="28"/>
          <w:szCs w:val="28"/>
        </w:rPr>
        <w:tab/>
      </w:r>
      <w:r>
        <w:rPr>
          <w:sz w:val="28"/>
          <w:szCs w:val="28"/>
        </w:rPr>
        <w:fldChar w:fldCharType="begin"/>
      </w:r>
      <w:r>
        <w:rPr>
          <w:sz w:val="28"/>
          <w:szCs w:val="28"/>
        </w:rPr>
        <w:instrText xml:space="preserve"> PAGEREF _Toc118988204 \h </w:instrText>
      </w:r>
      <w:r>
        <w:rPr>
          <w:sz w:val="28"/>
          <w:szCs w:val="28"/>
        </w:rPr>
        <w:fldChar w:fldCharType="separate"/>
      </w:r>
      <w:r>
        <w:rPr>
          <w:sz w:val="28"/>
          <w:szCs w:val="28"/>
        </w:rPr>
        <w:t>53</w:t>
      </w:r>
      <w:r>
        <w:rPr>
          <w:sz w:val="28"/>
          <w:szCs w:val="28"/>
        </w:rPr>
        <w:fldChar w:fldCharType="end"/>
      </w:r>
      <w:r>
        <w:rPr>
          <w:sz w:val="28"/>
          <w:szCs w:val="28"/>
        </w:rPr>
        <w:fldChar w:fldCharType="end"/>
      </w:r>
    </w:p>
    <w:p w14:paraId="7DB7CDD3">
      <w:pPr>
        <w:pStyle w:val="8"/>
        <w:spacing w:line="460" w:lineRule="exact"/>
        <w:rPr>
          <w:sz w:val="28"/>
          <w:szCs w:val="28"/>
        </w:rPr>
      </w:pPr>
      <w:r>
        <w:fldChar w:fldCharType="begin"/>
      </w:r>
      <w:r>
        <w:instrText xml:space="preserve"> HYPERLINK \l "_Toc118988205"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推进全域旅游升级</w:t>
      </w:r>
      <w:r>
        <w:rPr>
          <w:sz w:val="28"/>
          <w:szCs w:val="28"/>
        </w:rPr>
        <w:tab/>
      </w:r>
      <w:r>
        <w:rPr>
          <w:sz w:val="28"/>
          <w:szCs w:val="28"/>
        </w:rPr>
        <w:fldChar w:fldCharType="begin"/>
      </w:r>
      <w:r>
        <w:rPr>
          <w:sz w:val="28"/>
          <w:szCs w:val="28"/>
        </w:rPr>
        <w:instrText xml:space="preserve"> PAGEREF _Toc118988205 \h </w:instrText>
      </w:r>
      <w:r>
        <w:rPr>
          <w:sz w:val="28"/>
          <w:szCs w:val="28"/>
        </w:rPr>
        <w:fldChar w:fldCharType="separate"/>
      </w:r>
      <w:r>
        <w:rPr>
          <w:sz w:val="28"/>
          <w:szCs w:val="28"/>
        </w:rPr>
        <w:t>55</w:t>
      </w:r>
      <w:r>
        <w:rPr>
          <w:sz w:val="28"/>
          <w:szCs w:val="28"/>
        </w:rPr>
        <w:fldChar w:fldCharType="end"/>
      </w:r>
      <w:r>
        <w:rPr>
          <w:sz w:val="28"/>
          <w:szCs w:val="28"/>
        </w:rPr>
        <w:fldChar w:fldCharType="end"/>
      </w:r>
    </w:p>
    <w:p w14:paraId="72A9CC8E">
      <w:pPr>
        <w:pStyle w:val="12"/>
        <w:spacing w:line="460" w:lineRule="exact"/>
        <w:rPr>
          <w:rFonts w:ascii="Times New Roman" w:eastAsia="宋体"/>
        </w:rPr>
      </w:pPr>
      <w:r>
        <w:fldChar w:fldCharType="begin"/>
      </w:r>
      <w:r>
        <w:instrText xml:space="preserve"> HYPERLINK \l "_Toc118988206" </w:instrText>
      </w:r>
      <w:r>
        <w:fldChar w:fldCharType="separate"/>
      </w:r>
      <w:r>
        <w:rPr>
          <w:rStyle w:val="18"/>
          <w:rFonts w:hint="eastAsia" w:ascii="宋体" w:hAnsi="宋体" w:cs="宋体"/>
        </w:rPr>
        <w:t>（三）坚持融合发展，振兴体育事业产业</w:t>
      </w:r>
      <w:r>
        <w:tab/>
      </w:r>
      <w:r>
        <w:fldChar w:fldCharType="begin"/>
      </w:r>
      <w:r>
        <w:instrText xml:space="preserve"> PAGEREF _Toc118988206 \h </w:instrText>
      </w:r>
      <w:r>
        <w:fldChar w:fldCharType="separate"/>
      </w:r>
      <w:r>
        <w:t>58</w:t>
      </w:r>
      <w:r>
        <w:fldChar w:fldCharType="end"/>
      </w:r>
      <w:r>
        <w:fldChar w:fldCharType="end"/>
      </w:r>
    </w:p>
    <w:p w14:paraId="2EFF8920">
      <w:pPr>
        <w:pStyle w:val="8"/>
        <w:spacing w:line="460" w:lineRule="exact"/>
        <w:rPr>
          <w:sz w:val="28"/>
          <w:szCs w:val="28"/>
        </w:rPr>
      </w:pPr>
      <w:r>
        <w:fldChar w:fldCharType="begin"/>
      </w:r>
      <w:r>
        <w:instrText xml:space="preserve"> HYPERLINK \l "_Toc118988207"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全面提升体育事业水平</w:t>
      </w:r>
      <w:r>
        <w:rPr>
          <w:sz w:val="28"/>
          <w:szCs w:val="28"/>
        </w:rPr>
        <w:tab/>
      </w:r>
      <w:r>
        <w:rPr>
          <w:sz w:val="28"/>
          <w:szCs w:val="28"/>
        </w:rPr>
        <w:fldChar w:fldCharType="begin"/>
      </w:r>
      <w:r>
        <w:rPr>
          <w:sz w:val="28"/>
          <w:szCs w:val="28"/>
        </w:rPr>
        <w:instrText xml:space="preserve"> PAGEREF _Toc118988207 \h </w:instrText>
      </w:r>
      <w:r>
        <w:rPr>
          <w:sz w:val="28"/>
          <w:szCs w:val="28"/>
        </w:rPr>
        <w:fldChar w:fldCharType="separate"/>
      </w:r>
      <w:r>
        <w:rPr>
          <w:sz w:val="28"/>
          <w:szCs w:val="28"/>
        </w:rPr>
        <w:t>58</w:t>
      </w:r>
      <w:r>
        <w:rPr>
          <w:sz w:val="28"/>
          <w:szCs w:val="28"/>
        </w:rPr>
        <w:fldChar w:fldCharType="end"/>
      </w:r>
      <w:r>
        <w:rPr>
          <w:sz w:val="28"/>
          <w:szCs w:val="28"/>
        </w:rPr>
        <w:fldChar w:fldCharType="end"/>
      </w:r>
    </w:p>
    <w:p w14:paraId="57EF9652">
      <w:pPr>
        <w:pStyle w:val="8"/>
        <w:spacing w:line="460" w:lineRule="exact"/>
        <w:rPr>
          <w:sz w:val="28"/>
          <w:szCs w:val="28"/>
        </w:rPr>
      </w:pPr>
      <w:r>
        <w:fldChar w:fldCharType="begin"/>
      </w:r>
      <w:r>
        <w:instrText xml:space="preserve"> HYPERLINK \l "_Toc118988208"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构建特色体育产业体系</w:t>
      </w:r>
      <w:r>
        <w:rPr>
          <w:sz w:val="28"/>
          <w:szCs w:val="28"/>
        </w:rPr>
        <w:tab/>
      </w:r>
      <w:r>
        <w:rPr>
          <w:sz w:val="28"/>
          <w:szCs w:val="28"/>
        </w:rPr>
        <w:fldChar w:fldCharType="begin"/>
      </w:r>
      <w:r>
        <w:rPr>
          <w:sz w:val="28"/>
          <w:szCs w:val="28"/>
        </w:rPr>
        <w:instrText xml:space="preserve"> PAGEREF _Toc118988208 \h </w:instrText>
      </w:r>
      <w:r>
        <w:rPr>
          <w:sz w:val="28"/>
          <w:szCs w:val="28"/>
        </w:rPr>
        <w:fldChar w:fldCharType="separate"/>
      </w:r>
      <w:r>
        <w:rPr>
          <w:sz w:val="28"/>
          <w:szCs w:val="28"/>
        </w:rPr>
        <w:t>61</w:t>
      </w:r>
      <w:r>
        <w:rPr>
          <w:sz w:val="28"/>
          <w:szCs w:val="28"/>
        </w:rPr>
        <w:fldChar w:fldCharType="end"/>
      </w:r>
      <w:r>
        <w:rPr>
          <w:sz w:val="28"/>
          <w:szCs w:val="28"/>
        </w:rPr>
        <w:fldChar w:fldCharType="end"/>
      </w:r>
    </w:p>
    <w:p w14:paraId="790E128F">
      <w:pPr>
        <w:pStyle w:val="8"/>
        <w:spacing w:line="460" w:lineRule="exact"/>
        <w:rPr>
          <w:sz w:val="28"/>
          <w:szCs w:val="28"/>
        </w:rPr>
      </w:pPr>
      <w:r>
        <w:fldChar w:fldCharType="begin"/>
      </w:r>
      <w:r>
        <w:instrText xml:space="preserve"> HYPERLINK \l "_Toc118988209"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深化体育和旅游融合</w:t>
      </w:r>
      <w:r>
        <w:rPr>
          <w:sz w:val="28"/>
          <w:szCs w:val="28"/>
        </w:rPr>
        <w:tab/>
      </w:r>
      <w:r>
        <w:rPr>
          <w:sz w:val="28"/>
          <w:szCs w:val="28"/>
        </w:rPr>
        <w:fldChar w:fldCharType="begin"/>
      </w:r>
      <w:r>
        <w:rPr>
          <w:sz w:val="28"/>
          <w:szCs w:val="28"/>
        </w:rPr>
        <w:instrText xml:space="preserve"> PAGEREF _Toc118988209 \h </w:instrText>
      </w:r>
      <w:r>
        <w:rPr>
          <w:sz w:val="28"/>
          <w:szCs w:val="28"/>
        </w:rPr>
        <w:fldChar w:fldCharType="separate"/>
      </w:r>
      <w:r>
        <w:rPr>
          <w:sz w:val="28"/>
          <w:szCs w:val="28"/>
        </w:rPr>
        <w:t>62</w:t>
      </w:r>
      <w:r>
        <w:rPr>
          <w:sz w:val="28"/>
          <w:szCs w:val="28"/>
        </w:rPr>
        <w:fldChar w:fldCharType="end"/>
      </w:r>
      <w:r>
        <w:rPr>
          <w:sz w:val="28"/>
          <w:szCs w:val="28"/>
        </w:rPr>
        <w:fldChar w:fldCharType="end"/>
      </w:r>
    </w:p>
    <w:p w14:paraId="105CEDB4">
      <w:pPr>
        <w:pStyle w:val="8"/>
        <w:spacing w:line="460" w:lineRule="exact"/>
        <w:rPr>
          <w:sz w:val="28"/>
          <w:szCs w:val="28"/>
        </w:rPr>
      </w:pPr>
      <w:r>
        <w:fldChar w:fldCharType="begin"/>
      </w:r>
      <w:r>
        <w:instrText xml:space="preserve"> HYPERLINK \l "_Toc118988210"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推动体育改革创新工作</w:t>
      </w:r>
      <w:r>
        <w:rPr>
          <w:sz w:val="28"/>
          <w:szCs w:val="28"/>
        </w:rPr>
        <w:tab/>
      </w:r>
      <w:r>
        <w:rPr>
          <w:sz w:val="28"/>
          <w:szCs w:val="28"/>
        </w:rPr>
        <w:fldChar w:fldCharType="begin"/>
      </w:r>
      <w:r>
        <w:rPr>
          <w:sz w:val="28"/>
          <w:szCs w:val="28"/>
        </w:rPr>
        <w:instrText xml:space="preserve"> PAGEREF _Toc118988210 \h </w:instrText>
      </w:r>
      <w:r>
        <w:rPr>
          <w:sz w:val="28"/>
          <w:szCs w:val="28"/>
        </w:rPr>
        <w:fldChar w:fldCharType="separate"/>
      </w:r>
      <w:r>
        <w:rPr>
          <w:sz w:val="28"/>
          <w:szCs w:val="28"/>
        </w:rPr>
        <w:t>63</w:t>
      </w:r>
      <w:r>
        <w:rPr>
          <w:sz w:val="28"/>
          <w:szCs w:val="28"/>
        </w:rPr>
        <w:fldChar w:fldCharType="end"/>
      </w:r>
      <w:r>
        <w:rPr>
          <w:sz w:val="28"/>
          <w:szCs w:val="28"/>
        </w:rPr>
        <w:fldChar w:fldCharType="end"/>
      </w:r>
    </w:p>
    <w:p w14:paraId="09397BAA">
      <w:pPr>
        <w:pStyle w:val="12"/>
        <w:spacing w:line="460" w:lineRule="exact"/>
        <w:rPr>
          <w:rFonts w:ascii="Times New Roman" w:eastAsia="宋体"/>
        </w:rPr>
      </w:pPr>
      <w:r>
        <w:fldChar w:fldCharType="begin"/>
      </w:r>
      <w:r>
        <w:instrText xml:space="preserve"> HYPERLINK \l "_Toc118988211" </w:instrText>
      </w:r>
      <w:r>
        <w:fldChar w:fldCharType="separate"/>
      </w:r>
      <w:r>
        <w:rPr>
          <w:rStyle w:val="18"/>
          <w:rFonts w:hint="eastAsia" w:ascii="宋体" w:hAnsi="宋体" w:cs="宋体"/>
        </w:rPr>
        <w:t>（四）把握正确导向，谋划广电视听发展新格局</w:t>
      </w:r>
      <w:r>
        <w:tab/>
      </w:r>
      <w:r>
        <w:fldChar w:fldCharType="begin"/>
      </w:r>
      <w:r>
        <w:instrText xml:space="preserve"> PAGEREF _Toc118988211 \h </w:instrText>
      </w:r>
      <w:r>
        <w:fldChar w:fldCharType="separate"/>
      </w:r>
      <w:r>
        <w:t>64</w:t>
      </w:r>
      <w:r>
        <w:fldChar w:fldCharType="end"/>
      </w:r>
      <w:r>
        <w:fldChar w:fldCharType="end"/>
      </w:r>
    </w:p>
    <w:p w14:paraId="716666A6">
      <w:pPr>
        <w:pStyle w:val="8"/>
        <w:spacing w:line="460" w:lineRule="exact"/>
        <w:rPr>
          <w:sz w:val="28"/>
          <w:szCs w:val="28"/>
        </w:rPr>
      </w:pPr>
      <w:r>
        <w:fldChar w:fldCharType="begin"/>
      </w:r>
      <w:r>
        <w:instrText xml:space="preserve"> HYPERLINK \l "_Toc118988212"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加强主流舆论宣传，传播主流价值观</w:t>
      </w:r>
      <w:r>
        <w:rPr>
          <w:sz w:val="28"/>
          <w:szCs w:val="28"/>
        </w:rPr>
        <w:tab/>
      </w:r>
      <w:r>
        <w:rPr>
          <w:sz w:val="28"/>
          <w:szCs w:val="28"/>
        </w:rPr>
        <w:fldChar w:fldCharType="begin"/>
      </w:r>
      <w:r>
        <w:rPr>
          <w:sz w:val="28"/>
          <w:szCs w:val="28"/>
        </w:rPr>
        <w:instrText xml:space="preserve"> PAGEREF _Toc118988212 \h </w:instrText>
      </w:r>
      <w:r>
        <w:rPr>
          <w:sz w:val="28"/>
          <w:szCs w:val="28"/>
        </w:rPr>
        <w:fldChar w:fldCharType="separate"/>
      </w:r>
      <w:r>
        <w:rPr>
          <w:sz w:val="28"/>
          <w:szCs w:val="28"/>
        </w:rPr>
        <w:t>64</w:t>
      </w:r>
      <w:r>
        <w:rPr>
          <w:sz w:val="28"/>
          <w:szCs w:val="28"/>
        </w:rPr>
        <w:fldChar w:fldCharType="end"/>
      </w:r>
      <w:r>
        <w:rPr>
          <w:sz w:val="28"/>
          <w:szCs w:val="28"/>
        </w:rPr>
        <w:fldChar w:fldCharType="end"/>
      </w:r>
    </w:p>
    <w:p w14:paraId="5B27ADC3">
      <w:pPr>
        <w:pStyle w:val="8"/>
        <w:spacing w:line="460" w:lineRule="exact"/>
        <w:rPr>
          <w:sz w:val="28"/>
          <w:szCs w:val="28"/>
        </w:rPr>
      </w:pPr>
      <w:r>
        <w:fldChar w:fldCharType="begin"/>
      </w:r>
      <w:r>
        <w:instrText xml:space="preserve"> HYPERLINK \l "_Toc118988213"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提高作品创作品质，优化广电视听体验</w:t>
      </w:r>
      <w:r>
        <w:rPr>
          <w:sz w:val="28"/>
          <w:szCs w:val="28"/>
        </w:rPr>
        <w:tab/>
      </w:r>
      <w:r>
        <w:rPr>
          <w:sz w:val="28"/>
          <w:szCs w:val="28"/>
        </w:rPr>
        <w:fldChar w:fldCharType="begin"/>
      </w:r>
      <w:r>
        <w:rPr>
          <w:sz w:val="28"/>
          <w:szCs w:val="28"/>
        </w:rPr>
        <w:instrText xml:space="preserve"> PAGEREF _Toc118988213 \h </w:instrText>
      </w:r>
      <w:r>
        <w:rPr>
          <w:sz w:val="28"/>
          <w:szCs w:val="28"/>
        </w:rPr>
        <w:fldChar w:fldCharType="separate"/>
      </w:r>
      <w:r>
        <w:rPr>
          <w:sz w:val="28"/>
          <w:szCs w:val="28"/>
        </w:rPr>
        <w:t>64</w:t>
      </w:r>
      <w:r>
        <w:rPr>
          <w:sz w:val="28"/>
          <w:szCs w:val="28"/>
        </w:rPr>
        <w:fldChar w:fldCharType="end"/>
      </w:r>
      <w:r>
        <w:rPr>
          <w:sz w:val="28"/>
          <w:szCs w:val="28"/>
        </w:rPr>
        <w:fldChar w:fldCharType="end"/>
      </w:r>
    </w:p>
    <w:p w14:paraId="4F1CE0AF">
      <w:pPr>
        <w:pStyle w:val="8"/>
        <w:spacing w:line="460" w:lineRule="exact"/>
        <w:rPr>
          <w:sz w:val="28"/>
          <w:szCs w:val="28"/>
        </w:rPr>
      </w:pPr>
      <w:r>
        <w:fldChar w:fldCharType="begin"/>
      </w:r>
      <w:r>
        <w:instrText xml:space="preserve"> HYPERLINK \l "_Toc118988214"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壮大新型主流媒体，构建现代广电传播体系</w:t>
      </w:r>
      <w:r>
        <w:rPr>
          <w:sz w:val="28"/>
          <w:szCs w:val="28"/>
        </w:rPr>
        <w:tab/>
      </w:r>
      <w:r>
        <w:rPr>
          <w:sz w:val="28"/>
          <w:szCs w:val="28"/>
        </w:rPr>
        <w:fldChar w:fldCharType="begin"/>
      </w:r>
      <w:r>
        <w:rPr>
          <w:sz w:val="28"/>
          <w:szCs w:val="28"/>
        </w:rPr>
        <w:instrText xml:space="preserve"> PAGEREF _Toc118988214 \h </w:instrText>
      </w:r>
      <w:r>
        <w:rPr>
          <w:sz w:val="28"/>
          <w:szCs w:val="28"/>
        </w:rPr>
        <w:fldChar w:fldCharType="separate"/>
      </w:r>
      <w:r>
        <w:rPr>
          <w:sz w:val="28"/>
          <w:szCs w:val="28"/>
        </w:rPr>
        <w:t>65</w:t>
      </w:r>
      <w:r>
        <w:rPr>
          <w:sz w:val="28"/>
          <w:szCs w:val="28"/>
        </w:rPr>
        <w:fldChar w:fldCharType="end"/>
      </w:r>
      <w:r>
        <w:rPr>
          <w:sz w:val="28"/>
          <w:szCs w:val="28"/>
        </w:rPr>
        <w:fldChar w:fldCharType="end"/>
      </w:r>
    </w:p>
    <w:p w14:paraId="51BD89E0">
      <w:pPr>
        <w:pStyle w:val="8"/>
        <w:spacing w:line="460" w:lineRule="exact"/>
        <w:rPr>
          <w:sz w:val="28"/>
          <w:szCs w:val="28"/>
        </w:rPr>
      </w:pPr>
      <w:r>
        <w:fldChar w:fldCharType="begin"/>
      </w:r>
      <w:r>
        <w:instrText xml:space="preserve"> HYPERLINK \l "_Toc118988215"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加强业态整合创新，提升广电产业融合效能</w:t>
      </w:r>
      <w:r>
        <w:rPr>
          <w:sz w:val="28"/>
          <w:szCs w:val="28"/>
        </w:rPr>
        <w:tab/>
      </w:r>
      <w:r>
        <w:rPr>
          <w:sz w:val="28"/>
          <w:szCs w:val="28"/>
        </w:rPr>
        <w:fldChar w:fldCharType="begin"/>
      </w:r>
      <w:r>
        <w:rPr>
          <w:sz w:val="28"/>
          <w:szCs w:val="28"/>
        </w:rPr>
        <w:instrText xml:space="preserve"> PAGEREF _Toc118988215 \h </w:instrText>
      </w:r>
      <w:r>
        <w:rPr>
          <w:sz w:val="28"/>
          <w:szCs w:val="28"/>
        </w:rPr>
        <w:fldChar w:fldCharType="separate"/>
      </w:r>
      <w:r>
        <w:rPr>
          <w:sz w:val="28"/>
          <w:szCs w:val="28"/>
        </w:rPr>
        <w:t>65</w:t>
      </w:r>
      <w:r>
        <w:rPr>
          <w:sz w:val="28"/>
          <w:szCs w:val="28"/>
        </w:rPr>
        <w:fldChar w:fldCharType="end"/>
      </w:r>
      <w:r>
        <w:rPr>
          <w:sz w:val="28"/>
          <w:szCs w:val="28"/>
        </w:rPr>
        <w:fldChar w:fldCharType="end"/>
      </w:r>
    </w:p>
    <w:p w14:paraId="12593561">
      <w:pPr>
        <w:pStyle w:val="12"/>
        <w:spacing w:line="460" w:lineRule="exact"/>
        <w:rPr>
          <w:rFonts w:ascii="Times New Roman" w:eastAsia="宋体"/>
        </w:rPr>
      </w:pPr>
      <w:r>
        <w:fldChar w:fldCharType="begin"/>
      </w:r>
      <w:r>
        <w:instrText xml:space="preserve"> HYPERLINK \l "_Toc118988216" </w:instrText>
      </w:r>
      <w:r>
        <w:fldChar w:fldCharType="separate"/>
      </w:r>
      <w:r>
        <w:rPr>
          <w:rStyle w:val="18"/>
          <w:rFonts w:hint="eastAsia" w:ascii="宋体" w:hAnsi="宋体" w:cs="宋体"/>
        </w:rPr>
        <w:t>（五）助推全国文明典范城市创建</w:t>
      </w:r>
      <w:r>
        <w:tab/>
      </w:r>
      <w:r>
        <w:fldChar w:fldCharType="begin"/>
      </w:r>
      <w:r>
        <w:instrText xml:space="preserve"> PAGEREF _Toc118988216 \h </w:instrText>
      </w:r>
      <w:r>
        <w:fldChar w:fldCharType="separate"/>
      </w:r>
      <w:r>
        <w:t>66</w:t>
      </w:r>
      <w:r>
        <w:fldChar w:fldCharType="end"/>
      </w:r>
      <w:r>
        <w:fldChar w:fldCharType="end"/>
      </w:r>
    </w:p>
    <w:p w14:paraId="2CD27070">
      <w:pPr>
        <w:pStyle w:val="8"/>
        <w:spacing w:line="460" w:lineRule="exact"/>
        <w:rPr>
          <w:sz w:val="28"/>
          <w:szCs w:val="28"/>
        </w:rPr>
      </w:pPr>
      <w:r>
        <w:fldChar w:fldCharType="begin"/>
      </w:r>
      <w:r>
        <w:instrText xml:space="preserve"> HYPERLINK \l "_Toc118988217"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推进文明旅游，擦亮吴都文化新名片</w:t>
      </w:r>
      <w:r>
        <w:rPr>
          <w:sz w:val="28"/>
          <w:szCs w:val="28"/>
        </w:rPr>
        <w:tab/>
      </w:r>
      <w:r>
        <w:rPr>
          <w:sz w:val="28"/>
          <w:szCs w:val="28"/>
        </w:rPr>
        <w:fldChar w:fldCharType="begin"/>
      </w:r>
      <w:r>
        <w:rPr>
          <w:sz w:val="28"/>
          <w:szCs w:val="28"/>
        </w:rPr>
        <w:instrText xml:space="preserve"> PAGEREF _Toc118988217 \h </w:instrText>
      </w:r>
      <w:r>
        <w:rPr>
          <w:sz w:val="28"/>
          <w:szCs w:val="28"/>
        </w:rPr>
        <w:fldChar w:fldCharType="separate"/>
      </w:r>
      <w:r>
        <w:rPr>
          <w:sz w:val="28"/>
          <w:szCs w:val="28"/>
        </w:rPr>
        <w:t>66</w:t>
      </w:r>
      <w:r>
        <w:rPr>
          <w:sz w:val="28"/>
          <w:szCs w:val="28"/>
        </w:rPr>
        <w:fldChar w:fldCharType="end"/>
      </w:r>
      <w:r>
        <w:rPr>
          <w:sz w:val="28"/>
          <w:szCs w:val="28"/>
        </w:rPr>
        <w:fldChar w:fldCharType="end"/>
      </w:r>
    </w:p>
    <w:p w14:paraId="1E9B1925">
      <w:pPr>
        <w:pStyle w:val="8"/>
        <w:spacing w:line="460" w:lineRule="exact"/>
        <w:rPr>
          <w:sz w:val="28"/>
          <w:szCs w:val="28"/>
        </w:rPr>
      </w:pPr>
      <w:r>
        <w:fldChar w:fldCharType="begin"/>
      </w:r>
      <w:r>
        <w:instrText xml:space="preserve"> HYPERLINK \l "_Toc118988218"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推进乡村振兴，助力城市文明提升</w:t>
      </w:r>
      <w:r>
        <w:rPr>
          <w:sz w:val="28"/>
          <w:szCs w:val="28"/>
        </w:rPr>
        <w:tab/>
      </w:r>
      <w:r>
        <w:rPr>
          <w:sz w:val="28"/>
          <w:szCs w:val="28"/>
        </w:rPr>
        <w:fldChar w:fldCharType="begin"/>
      </w:r>
      <w:r>
        <w:rPr>
          <w:sz w:val="28"/>
          <w:szCs w:val="28"/>
        </w:rPr>
        <w:instrText xml:space="preserve"> PAGEREF _Toc118988218 \h </w:instrText>
      </w:r>
      <w:r>
        <w:rPr>
          <w:sz w:val="28"/>
          <w:szCs w:val="28"/>
        </w:rPr>
        <w:fldChar w:fldCharType="separate"/>
      </w:r>
      <w:r>
        <w:rPr>
          <w:sz w:val="28"/>
          <w:szCs w:val="28"/>
        </w:rPr>
        <w:t>66</w:t>
      </w:r>
      <w:r>
        <w:rPr>
          <w:sz w:val="28"/>
          <w:szCs w:val="28"/>
        </w:rPr>
        <w:fldChar w:fldCharType="end"/>
      </w:r>
      <w:r>
        <w:rPr>
          <w:sz w:val="28"/>
          <w:szCs w:val="28"/>
        </w:rPr>
        <w:fldChar w:fldCharType="end"/>
      </w:r>
    </w:p>
    <w:p w14:paraId="46902EA6">
      <w:pPr>
        <w:pStyle w:val="8"/>
        <w:spacing w:line="460" w:lineRule="exact"/>
        <w:rPr>
          <w:sz w:val="28"/>
          <w:szCs w:val="28"/>
        </w:rPr>
      </w:pPr>
      <w:r>
        <w:fldChar w:fldCharType="begin"/>
      </w:r>
      <w:r>
        <w:instrText xml:space="preserve"> HYPERLINK \l "_Toc118988219"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推动红色文化与文明城市深度融合</w:t>
      </w:r>
      <w:r>
        <w:rPr>
          <w:sz w:val="28"/>
          <w:szCs w:val="28"/>
        </w:rPr>
        <w:tab/>
      </w:r>
      <w:r>
        <w:rPr>
          <w:sz w:val="28"/>
          <w:szCs w:val="28"/>
        </w:rPr>
        <w:fldChar w:fldCharType="begin"/>
      </w:r>
      <w:r>
        <w:rPr>
          <w:sz w:val="28"/>
          <w:szCs w:val="28"/>
        </w:rPr>
        <w:instrText xml:space="preserve"> PAGEREF _Toc118988219 \h </w:instrText>
      </w:r>
      <w:r>
        <w:rPr>
          <w:sz w:val="28"/>
          <w:szCs w:val="28"/>
        </w:rPr>
        <w:fldChar w:fldCharType="separate"/>
      </w:r>
      <w:r>
        <w:rPr>
          <w:sz w:val="28"/>
          <w:szCs w:val="28"/>
        </w:rPr>
        <w:t>67</w:t>
      </w:r>
      <w:r>
        <w:rPr>
          <w:sz w:val="28"/>
          <w:szCs w:val="28"/>
        </w:rPr>
        <w:fldChar w:fldCharType="end"/>
      </w:r>
      <w:r>
        <w:rPr>
          <w:sz w:val="28"/>
          <w:szCs w:val="28"/>
        </w:rPr>
        <w:fldChar w:fldCharType="end"/>
      </w:r>
    </w:p>
    <w:p w14:paraId="01E27C2F">
      <w:pPr>
        <w:pStyle w:val="12"/>
        <w:spacing w:line="460" w:lineRule="exact"/>
        <w:rPr>
          <w:rFonts w:ascii="Times New Roman" w:eastAsia="宋体"/>
        </w:rPr>
      </w:pPr>
      <w:r>
        <w:fldChar w:fldCharType="begin"/>
      </w:r>
      <w:r>
        <w:instrText xml:space="preserve"> HYPERLINK \l "_Toc118988220" </w:instrText>
      </w:r>
      <w:r>
        <w:fldChar w:fldCharType="separate"/>
      </w:r>
      <w:r>
        <w:rPr>
          <w:rStyle w:val="18"/>
          <w:rFonts w:hint="eastAsia" w:ascii="宋体" w:hAnsi="宋体" w:cs="宋体"/>
        </w:rPr>
        <w:t>（六）推进长江国家文化公园鄂州区域规划建设</w:t>
      </w:r>
      <w:r>
        <w:tab/>
      </w:r>
      <w:r>
        <w:fldChar w:fldCharType="begin"/>
      </w:r>
      <w:r>
        <w:instrText xml:space="preserve"> PAGEREF _Toc118988220 \h </w:instrText>
      </w:r>
      <w:r>
        <w:fldChar w:fldCharType="separate"/>
      </w:r>
      <w:r>
        <w:t>67</w:t>
      </w:r>
      <w:r>
        <w:fldChar w:fldCharType="end"/>
      </w:r>
      <w:r>
        <w:fldChar w:fldCharType="end"/>
      </w:r>
    </w:p>
    <w:p w14:paraId="19D1E8B9">
      <w:pPr>
        <w:pStyle w:val="8"/>
        <w:spacing w:line="460" w:lineRule="exact"/>
        <w:rPr>
          <w:sz w:val="28"/>
          <w:szCs w:val="28"/>
        </w:rPr>
      </w:pPr>
      <w:r>
        <w:fldChar w:fldCharType="begin"/>
      </w:r>
      <w:r>
        <w:instrText xml:space="preserve"> HYPERLINK \l "_Toc118988221"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总体思路</w:t>
      </w:r>
      <w:r>
        <w:rPr>
          <w:sz w:val="28"/>
          <w:szCs w:val="28"/>
        </w:rPr>
        <w:tab/>
      </w:r>
      <w:r>
        <w:rPr>
          <w:sz w:val="28"/>
          <w:szCs w:val="28"/>
        </w:rPr>
        <w:fldChar w:fldCharType="begin"/>
      </w:r>
      <w:r>
        <w:rPr>
          <w:sz w:val="28"/>
          <w:szCs w:val="28"/>
        </w:rPr>
        <w:instrText xml:space="preserve"> PAGEREF _Toc118988221 \h </w:instrText>
      </w:r>
      <w:r>
        <w:rPr>
          <w:sz w:val="28"/>
          <w:szCs w:val="28"/>
        </w:rPr>
        <w:fldChar w:fldCharType="separate"/>
      </w:r>
      <w:r>
        <w:rPr>
          <w:sz w:val="28"/>
          <w:szCs w:val="28"/>
        </w:rPr>
        <w:t>67</w:t>
      </w:r>
      <w:r>
        <w:rPr>
          <w:sz w:val="28"/>
          <w:szCs w:val="28"/>
        </w:rPr>
        <w:fldChar w:fldCharType="end"/>
      </w:r>
      <w:r>
        <w:rPr>
          <w:sz w:val="28"/>
          <w:szCs w:val="28"/>
        </w:rPr>
        <w:fldChar w:fldCharType="end"/>
      </w:r>
    </w:p>
    <w:p w14:paraId="58135E2F">
      <w:pPr>
        <w:pStyle w:val="8"/>
        <w:spacing w:line="460" w:lineRule="exact"/>
        <w:rPr>
          <w:sz w:val="28"/>
          <w:szCs w:val="28"/>
        </w:rPr>
      </w:pPr>
      <w:r>
        <w:fldChar w:fldCharType="begin"/>
      </w:r>
      <w:r>
        <w:instrText xml:space="preserve"> HYPERLINK \l "_Toc118988222"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重点规划建设区域</w:t>
      </w:r>
      <w:r>
        <w:rPr>
          <w:sz w:val="28"/>
          <w:szCs w:val="28"/>
        </w:rPr>
        <w:tab/>
      </w:r>
      <w:r>
        <w:rPr>
          <w:sz w:val="28"/>
          <w:szCs w:val="28"/>
        </w:rPr>
        <w:fldChar w:fldCharType="begin"/>
      </w:r>
      <w:r>
        <w:rPr>
          <w:sz w:val="28"/>
          <w:szCs w:val="28"/>
        </w:rPr>
        <w:instrText xml:space="preserve"> PAGEREF _Toc118988222 \h </w:instrText>
      </w:r>
      <w:r>
        <w:rPr>
          <w:sz w:val="28"/>
          <w:szCs w:val="28"/>
        </w:rPr>
        <w:fldChar w:fldCharType="separate"/>
      </w:r>
      <w:r>
        <w:rPr>
          <w:sz w:val="28"/>
          <w:szCs w:val="28"/>
        </w:rPr>
        <w:t>68</w:t>
      </w:r>
      <w:r>
        <w:rPr>
          <w:sz w:val="28"/>
          <w:szCs w:val="28"/>
        </w:rPr>
        <w:fldChar w:fldCharType="end"/>
      </w:r>
      <w:r>
        <w:rPr>
          <w:sz w:val="28"/>
          <w:szCs w:val="28"/>
        </w:rPr>
        <w:fldChar w:fldCharType="end"/>
      </w:r>
    </w:p>
    <w:p w14:paraId="4BE9B8FC">
      <w:pPr>
        <w:pStyle w:val="8"/>
        <w:spacing w:line="460" w:lineRule="exact"/>
        <w:rPr>
          <w:sz w:val="28"/>
          <w:szCs w:val="28"/>
        </w:rPr>
      </w:pPr>
      <w:r>
        <w:fldChar w:fldCharType="begin"/>
      </w:r>
      <w:r>
        <w:instrText xml:space="preserve"> HYPERLINK \l "_Toc118988223"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规划建设目标</w:t>
      </w:r>
      <w:r>
        <w:rPr>
          <w:sz w:val="28"/>
          <w:szCs w:val="28"/>
        </w:rPr>
        <w:tab/>
      </w:r>
      <w:r>
        <w:rPr>
          <w:sz w:val="28"/>
          <w:szCs w:val="28"/>
        </w:rPr>
        <w:fldChar w:fldCharType="begin"/>
      </w:r>
      <w:r>
        <w:rPr>
          <w:sz w:val="28"/>
          <w:szCs w:val="28"/>
        </w:rPr>
        <w:instrText xml:space="preserve"> PAGEREF _Toc118988223 \h </w:instrText>
      </w:r>
      <w:r>
        <w:rPr>
          <w:sz w:val="28"/>
          <w:szCs w:val="28"/>
        </w:rPr>
        <w:fldChar w:fldCharType="separate"/>
      </w:r>
      <w:r>
        <w:rPr>
          <w:sz w:val="28"/>
          <w:szCs w:val="28"/>
        </w:rPr>
        <w:t>68</w:t>
      </w:r>
      <w:r>
        <w:rPr>
          <w:sz w:val="28"/>
          <w:szCs w:val="28"/>
        </w:rPr>
        <w:fldChar w:fldCharType="end"/>
      </w:r>
      <w:r>
        <w:rPr>
          <w:sz w:val="28"/>
          <w:szCs w:val="28"/>
        </w:rPr>
        <w:fldChar w:fldCharType="end"/>
      </w:r>
    </w:p>
    <w:p w14:paraId="7F494B5C">
      <w:pPr>
        <w:pStyle w:val="8"/>
        <w:spacing w:line="460" w:lineRule="exact"/>
        <w:rPr>
          <w:sz w:val="28"/>
          <w:szCs w:val="28"/>
        </w:rPr>
      </w:pPr>
      <w:r>
        <w:fldChar w:fldCharType="begin"/>
      </w:r>
      <w:r>
        <w:instrText xml:space="preserve"> HYPERLINK \l "_Toc118988224"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主要工作任务</w:t>
      </w:r>
      <w:r>
        <w:rPr>
          <w:sz w:val="28"/>
          <w:szCs w:val="28"/>
        </w:rPr>
        <w:tab/>
      </w:r>
      <w:r>
        <w:rPr>
          <w:sz w:val="28"/>
          <w:szCs w:val="28"/>
        </w:rPr>
        <w:fldChar w:fldCharType="begin"/>
      </w:r>
      <w:r>
        <w:rPr>
          <w:sz w:val="28"/>
          <w:szCs w:val="28"/>
        </w:rPr>
        <w:instrText xml:space="preserve"> PAGEREF _Toc118988224 \h </w:instrText>
      </w:r>
      <w:r>
        <w:rPr>
          <w:sz w:val="28"/>
          <w:szCs w:val="28"/>
        </w:rPr>
        <w:fldChar w:fldCharType="separate"/>
      </w:r>
      <w:r>
        <w:rPr>
          <w:sz w:val="28"/>
          <w:szCs w:val="28"/>
        </w:rPr>
        <w:t>68</w:t>
      </w:r>
      <w:r>
        <w:rPr>
          <w:sz w:val="28"/>
          <w:szCs w:val="28"/>
        </w:rPr>
        <w:fldChar w:fldCharType="end"/>
      </w:r>
      <w:r>
        <w:rPr>
          <w:sz w:val="28"/>
          <w:szCs w:val="28"/>
        </w:rPr>
        <w:fldChar w:fldCharType="end"/>
      </w:r>
    </w:p>
    <w:p w14:paraId="39EDB341">
      <w:pPr>
        <w:pStyle w:val="11"/>
        <w:spacing w:line="460" w:lineRule="exact"/>
        <w:rPr>
          <w:rFonts w:ascii="Times New Roman" w:eastAsia="宋体"/>
          <w:b w:val="0"/>
          <w:bCs w:val="0"/>
          <w:caps w:val="0"/>
          <w:sz w:val="28"/>
        </w:rPr>
      </w:pPr>
      <w:r>
        <w:fldChar w:fldCharType="begin"/>
      </w:r>
      <w:r>
        <w:instrText xml:space="preserve"> HYPERLINK \l "_Toc118988225" </w:instrText>
      </w:r>
      <w:r>
        <w:fldChar w:fldCharType="separate"/>
      </w:r>
      <w:r>
        <w:rPr>
          <w:rStyle w:val="18"/>
          <w:rFonts w:hint="eastAsia" w:ascii="微软雅黑" w:hAnsi="微软雅黑" w:eastAsia="微软雅黑" w:cs="微软雅黑"/>
          <w:sz w:val="28"/>
        </w:rPr>
        <w:t>四、实施路径</w:t>
      </w:r>
      <w:r>
        <w:rPr>
          <w:sz w:val="28"/>
        </w:rPr>
        <w:tab/>
      </w:r>
      <w:r>
        <w:rPr>
          <w:sz w:val="28"/>
        </w:rPr>
        <w:fldChar w:fldCharType="begin"/>
      </w:r>
      <w:r>
        <w:rPr>
          <w:sz w:val="28"/>
        </w:rPr>
        <w:instrText xml:space="preserve"> PAGEREF _Toc118988225 \h </w:instrText>
      </w:r>
      <w:r>
        <w:rPr>
          <w:sz w:val="28"/>
        </w:rPr>
        <w:fldChar w:fldCharType="separate"/>
      </w:r>
      <w:r>
        <w:rPr>
          <w:sz w:val="28"/>
        </w:rPr>
        <w:t>70</w:t>
      </w:r>
      <w:r>
        <w:rPr>
          <w:sz w:val="28"/>
        </w:rPr>
        <w:fldChar w:fldCharType="end"/>
      </w:r>
      <w:r>
        <w:rPr>
          <w:sz w:val="28"/>
        </w:rPr>
        <w:fldChar w:fldCharType="end"/>
      </w:r>
    </w:p>
    <w:p w14:paraId="40B1E176">
      <w:pPr>
        <w:pStyle w:val="12"/>
        <w:spacing w:line="460" w:lineRule="exact"/>
        <w:rPr>
          <w:rFonts w:ascii="Times New Roman" w:eastAsia="宋体"/>
        </w:rPr>
      </w:pPr>
      <w:r>
        <w:fldChar w:fldCharType="begin"/>
      </w:r>
      <w:r>
        <w:instrText xml:space="preserve"> HYPERLINK \l "_Toc118988226" </w:instrText>
      </w:r>
      <w:r>
        <w:fldChar w:fldCharType="separate"/>
      </w:r>
      <w:r>
        <w:rPr>
          <w:rStyle w:val="18"/>
          <w:rFonts w:hint="eastAsia" w:ascii="宋体" w:hAnsi="宋体" w:cs="宋体"/>
        </w:rPr>
        <w:t>（一）加强顶层设计，助推高质量发展</w:t>
      </w:r>
      <w:r>
        <w:tab/>
      </w:r>
      <w:r>
        <w:fldChar w:fldCharType="begin"/>
      </w:r>
      <w:r>
        <w:instrText xml:space="preserve"> PAGEREF _Toc118988226 \h </w:instrText>
      </w:r>
      <w:r>
        <w:fldChar w:fldCharType="separate"/>
      </w:r>
      <w:r>
        <w:t>70</w:t>
      </w:r>
      <w:r>
        <w:fldChar w:fldCharType="end"/>
      </w:r>
      <w:r>
        <w:fldChar w:fldCharType="end"/>
      </w:r>
    </w:p>
    <w:p w14:paraId="424FAD07">
      <w:pPr>
        <w:pStyle w:val="8"/>
        <w:spacing w:line="460" w:lineRule="exact"/>
        <w:rPr>
          <w:sz w:val="28"/>
          <w:szCs w:val="28"/>
        </w:rPr>
      </w:pPr>
      <w:r>
        <w:fldChar w:fldCharType="begin"/>
      </w:r>
      <w:r>
        <w:instrText xml:space="preserve"> HYPERLINK \l "_Toc118988227"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加大政策及制度创新</w:t>
      </w:r>
      <w:r>
        <w:rPr>
          <w:sz w:val="28"/>
          <w:szCs w:val="28"/>
        </w:rPr>
        <w:tab/>
      </w:r>
      <w:r>
        <w:rPr>
          <w:sz w:val="28"/>
          <w:szCs w:val="28"/>
        </w:rPr>
        <w:fldChar w:fldCharType="begin"/>
      </w:r>
      <w:r>
        <w:rPr>
          <w:sz w:val="28"/>
          <w:szCs w:val="28"/>
        </w:rPr>
        <w:instrText xml:space="preserve"> PAGEREF _Toc118988227 \h </w:instrText>
      </w:r>
      <w:r>
        <w:rPr>
          <w:sz w:val="28"/>
          <w:szCs w:val="28"/>
        </w:rPr>
        <w:fldChar w:fldCharType="separate"/>
      </w:r>
      <w:r>
        <w:rPr>
          <w:sz w:val="28"/>
          <w:szCs w:val="28"/>
        </w:rPr>
        <w:t>70</w:t>
      </w:r>
      <w:r>
        <w:rPr>
          <w:sz w:val="28"/>
          <w:szCs w:val="28"/>
        </w:rPr>
        <w:fldChar w:fldCharType="end"/>
      </w:r>
      <w:r>
        <w:rPr>
          <w:sz w:val="28"/>
          <w:szCs w:val="28"/>
        </w:rPr>
        <w:fldChar w:fldCharType="end"/>
      </w:r>
    </w:p>
    <w:p w14:paraId="032062E6">
      <w:pPr>
        <w:pStyle w:val="8"/>
        <w:spacing w:line="460" w:lineRule="exact"/>
        <w:rPr>
          <w:sz w:val="28"/>
          <w:szCs w:val="28"/>
        </w:rPr>
      </w:pPr>
      <w:r>
        <w:fldChar w:fldCharType="begin"/>
      </w:r>
      <w:r>
        <w:instrText xml:space="preserve"> HYPERLINK \l "_Toc118988228"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强化高起点规划引领</w:t>
      </w:r>
      <w:r>
        <w:rPr>
          <w:sz w:val="28"/>
          <w:szCs w:val="28"/>
        </w:rPr>
        <w:tab/>
      </w:r>
      <w:r>
        <w:rPr>
          <w:sz w:val="28"/>
          <w:szCs w:val="28"/>
        </w:rPr>
        <w:fldChar w:fldCharType="begin"/>
      </w:r>
      <w:r>
        <w:rPr>
          <w:sz w:val="28"/>
          <w:szCs w:val="28"/>
        </w:rPr>
        <w:instrText xml:space="preserve"> PAGEREF _Toc118988228 \h </w:instrText>
      </w:r>
      <w:r>
        <w:rPr>
          <w:sz w:val="28"/>
          <w:szCs w:val="28"/>
        </w:rPr>
        <w:fldChar w:fldCharType="separate"/>
      </w:r>
      <w:r>
        <w:rPr>
          <w:sz w:val="28"/>
          <w:szCs w:val="28"/>
        </w:rPr>
        <w:t>71</w:t>
      </w:r>
      <w:r>
        <w:rPr>
          <w:sz w:val="28"/>
          <w:szCs w:val="28"/>
        </w:rPr>
        <w:fldChar w:fldCharType="end"/>
      </w:r>
      <w:r>
        <w:rPr>
          <w:sz w:val="28"/>
          <w:szCs w:val="28"/>
        </w:rPr>
        <w:fldChar w:fldCharType="end"/>
      </w:r>
    </w:p>
    <w:p w14:paraId="03423261">
      <w:pPr>
        <w:pStyle w:val="8"/>
        <w:spacing w:line="460" w:lineRule="exact"/>
        <w:rPr>
          <w:sz w:val="28"/>
          <w:szCs w:val="28"/>
        </w:rPr>
      </w:pPr>
      <w:r>
        <w:fldChar w:fldCharType="begin"/>
      </w:r>
      <w:r>
        <w:instrText xml:space="preserve"> HYPERLINK \l "_Toc118988229"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聚焦项目招商与市场主体培育</w:t>
      </w:r>
      <w:r>
        <w:rPr>
          <w:sz w:val="28"/>
          <w:szCs w:val="28"/>
        </w:rPr>
        <w:tab/>
      </w:r>
      <w:r>
        <w:rPr>
          <w:sz w:val="28"/>
          <w:szCs w:val="28"/>
        </w:rPr>
        <w:fldChar w:fldCharType="begin"/>
      </w:r>
      <w:r>
        <w:rPr>
          <w:sz w:val="28"/>
          <w:szCs w:val="28"/>
        </w:rPr>
        <w:instrText xml:space="preserve"> PAGEREF _Toc118988229 \h </w:instrText>
      </w:r>
      <w:r>
        <w:rPr>
          <w:sz w:val="28"/>
          <w:szCs w:val="28"/>
        </w:rPr>
        <w:fldChar w:fldCharType="separate"/>
      </w:r>
      <w:r>
        <w:rPr>
          <w:sz w:val="28"/>
          <w:szCs w:val="28"/>
        </w:rPr>
        <w:t>72</w:t>
      </w:r>
      <w:r>
        <w:rPr>
          <w:sz w:val="28"/>
          <w:szCs w:val="28"/>
        </w:rPr>
        <w:fldChar w:fldCharType="end"/>
      </w:r>
      <w:r>
        <w:rPr>
          <w:sz w:val="28"/>
          <w:szCs w:val="28"/>
        </w:rPr>
        <w:fldChar w:fldCharType="end"/>
      </w:r>
    </w:p>
    <w:p w14:paraId="11DB7829">
      <w:pPr>
        <w:pStyle w:val="8"/>
        <w:spacing w:line="460" w:lineRule="exact"/>
        <w:rPr>
          <w:sz w:val="28"/>
          <w:szCs w:val="28"/>
        </w:rPr>
      </w:pPr>
      <w:r>
        <w:fldChar w:fldCharType="begin"/>
      </w:r>
      <w:r>
        <w:instrText xml:space="preserve"> HYPERLINK \l "_Toc118988230"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加快高水平对外开放</w:t>
      </w:r>
      <w:r>
        <w:rPr>
          <w:sz w:val="28"/>
          <w:szCs w:val="28"/>
        </w:rPr>
        <w:tab/>
      </w:r>
      <w:r>
        <w:rPr>
          <w:sz w:val="28"/>
          <w:szCs w:val="28"/>
        </w:rPr>
        <w:fldChar w:fldCharType="begin"/>
      </w:r>
      <w:r>
        <w:rPr>
          <w:sz w:val="28"/>
          <w:szCs w:val="28"/>
        </w:rPr>
        <w:instrText xml:space="preserve"> PAGEREF _Toc118988230 \h </w:instrText>
      </w:r>
      <w:r>
        <w:rPr>
          <w:sz w:val="28"/>
          <w:szCs w:val="28"/>
        </w:rPr>
        <w:fldChar w:fldCharType="separate"/>
      </w:r>
      <w:r>
        <w:rPr>
          <w:sz w:val="28"/>
          <w:szCs w:val="28"/>
        </w:rPr>
        <w:t>74</w:t>
      </w:r>
      <w:r>
        <w:rPr>
          <w:sz w:val="28"/>
          <w:szCs w:val="28"/>
        </w:rPr>
        <w:fldChar w:fldCharType="end"/>
      </w:r>
      <w:r>
        <w:rPr>
          <w:sz w:val="28"/>
          <w:szCs w:val="28"/>
        </w:rPr>
        <w:fldChar w:fldCharType="end"/>
      </w:r>
    </w:p>
    <w:p w14:paraId="7113D87F">
      <w:pPr>
        <w:pStyle w:val="12"/>
        <w:spacing w:line="460" w:lineRule="exact"/>
        <w:rPr>
          <w:rFonts w:ascii="Times New Roman" w:eastAsia="宋体"/>
        </w:rPr>
      </w:pPr>
      <w:r>
        <w:fldChar w:fldCharType="begin"/>
      </w:r>
      <w:r>
        <w:instrText xml:space="preserve"> HYPERLINK \l "_Toc118988231" </w:instrText>
      </w:r>
      <w:r>
        <w:fldChar w:fldCharType="separate"/>
      </w:r>
      <w:r>
        <w:rPr>
          <w:rStyle w:val="18"/>
          <w:rFonts w:hint="eastAsia" w:ascii="宋体" w:hAnsi="宋体" w:cs="宋体"/>
        </w:rPr>
        <w:t>（二）完善基础建设，补齐公共服务短板</w:t>
      </w:r>
      <w:r>
        <w:tab/>
      </w:r>
      <w:r>
        <w:fldChar w:fldCharType="begin"/>
      </w:r>
      <w:r>
        <w:instrText xml:space="preserve"> PAGEREF _Toc118988231 \h </w:instrText>
      </w:r>
      <w:r>
        <w:fldChar w:fldCharType="separate"/>
      </w:r>
      <w:r>
        <w:t>75</w:t>
      </w:r>
      <w:r>
        <w:fldChar w:fldCharType="end"/>
      </w:r>
      <w:r>
        <w:fldChar w:fldCharType="end"/>
      </w:r>
    </w:p>
    <w:p w14:paraId="2902E7E4">
      <w:pPr>
        <w:pStyle w:val="8"/>
        <w:spacing w:line="460" w:lineRule="exact"/>
        <w:rPr>
          <w:sz w:val="28"/>
          <w:szCs w:val="28"/>
        </w:rPr>
      </w:pPr>
      <w:r>
        <w:fldChar w:fldCharType="begin"/>
      </w:r>
      <w:r>
        <w:instrText xml:space="preserve"> HYPERLINK \l "_Toc118988232"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完善公共文化服务体系建设</w:t>
      </w:r>
      <w:r>
        <w:rPr>
          <w:sz w:val="28"/>
          <w:szCs w:val="28"/>
        </w:rPr>
        <w:tab/>
      </w:r>
      <w:r>
        <w:rPr>
          <w:sz w:val="28"/>
          <w:szCs w:val="28"/>
        </w:rPr>
        <w:fldChar w:fldCharType="begin"/>
      </w:r>
      <w:r>
        <w:rPr>
          <w:sz w:val="28"/>
          <w:szCs w:val="28"/>
        </w:rPr>
        <w:instrText xml:space="preserve"> PAGEREF _Toc118988232 \h </w:instrText>
      </w:r>
      <w:r>
        <w:rPr>
          <w:sz w:val="28"/>
          <w:szCs w:val="28"/>
        </w:rPr>
        <w:fldChar w:fldCharType="separate"/>
      </w:r>
      <w:r>
        <w:rPr>
          <w:sz w:val="28"/>
          <w:szCs w:val="28"/>
        </w:rPr>
        <w:t>75</w:t>
      </w:r>
      <w:r>
        <w:rPr>
          <w:sz w:val="28"/>
          <w:szCs w:val="28"/>
        </w:rPr>
        <w:fldChar w:fldCharType="end"/>
      </w:r>
      <w:r>
        <w:rPr>
          <w:sz w:val="28"/>
          <w:szCs w:val="28"/>
        </w:rPr>
        <w:fldChar w:fldCharType="end"/>
      </w:r>
    </w:p>
    <w:p w14:paraId="043C2126">
      <w:pPr>
        <w:pStyle w:val="8"/>
        <w:spacing w:line="460" w:lineRule="exact"/>
        <w:rPr>
          <w:sz w:val="28"/>
          <w:szCs w:val="28"/>
        </w:rPr>
      </w:pPr>
      <w:r>
        <w:fldChar w:fldCharType="begin"/>
      </w:r>
      <w:r>
        <w:instrText xml:space="preserve"> HYPERLINK \l "_Toc118988233"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加强体育基础设施建设</w:t>
      </w:r>
      <w:r>
        <w:rPr>
          <w:sz w:val="28"/>
          <w:szCs w:val="28"/>
        </w:rPr>
        <w:tab/>
      </w:r>
      <w:r>
        <w:rPr>
          <w:sz w:val="28"/>
          <w:szCs w:val="28"/>
        </w:rPr>
        <w:fldChar w:fldCharType="begin"/>
      </w:r>
      <w:r>
        <w:rPr>
          <w:sz w:val="28"/>
          <w:szCs w:val="28"/>
        </w:rPr>
        <w:instrText xml:space="preserve"> PAGEREF _Toc118988233 \h </w:instrText>
      </w:r>
      <w:r>
        <w:rPr>
          <w:sz w:val="28"/>
          <w:szCs w:val="28"/>
        </w:rPr>
        <w:fldChar w:fldCharType="separate"/>
      </w:r>
      <w:r>
        <w:rPr>
          <w:sz w:val="28"/>
          <w:szCs w:val="28"/>
        </w:rPr>
        <w:t>82</w:t>
      </w:r>
      <w:r>
        <w:rPr>
          <w:sz w:val="28"/>
          <w:szCs w:val="28"/>
        </w:rPr>
        <w:fldChar w:fldCharType="end"/>
      </w:r>
      <w:r>
        <w:rPr>
          <w:sz w:val="28"/>
          <w:szCs w:val="28"/>
        </w:rPr>
        <w:fldChar w:fldCharType="end"/>
      </w:r>
    </w:p>
    <w:p w14:paraId="6DE96F7F">
      <w:pPr>
        <w:pStyle w:val="8"/>
        <w:spacing w:line="460" w:lineRule="exact"/>
        <w:rPr>
          <w:sz w:val="28"/>
          <w:szCs w:val="28"/>
        </w:rPr>
      </w:pPr>
      <w:r>
        <w:fldChar w:fldCharType="begin"/>
      </w:r>
      <w:r>
        <w:instrText xml:space="preserve"> HYPERLINK \l "_Toc118988234"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完善广电公共服务体系建设</w:t>
      </w:r>
      <w:r>
        <w:rPr>
          <w:sz w:val="28"/>
          <w:szCs w:val="28"/>
        </w:rPr>
        <w:tab/>
      </w:r>
      <w:r>
        <w:rPr>
          <w:sz w:val="28"/>
          <w:szCs w:val="28"/>
        </w:rPr>
        <w:fldChar w:fldCharType="begin"/>
      </w:r>
      <w:r>
        <w:rPr>
          <w:sz w:val="28"/>
          <w:szCs w:val="28"/>
        </w:rPr>
        <w:instrText xml:space="preserve"> PAGEREF _Toc118988234 \h </w:instrText>
      </w:r>
      <w:r>
        <w:rPr>
          <w:sz w:val="28"/>
          <w:szCs w:val="28"/>
        </w:rPr>
        <w:fldChar w:fldCharType="separate"/>
      </w:r>
      <w:r>
        <w:rPr>
          <w:sz w:val="28"/>
          <w:szCs w:val="28"/>
        </w:rPr>
        <w:t>84</w:t>
      </w:r>
      <w:r>
        <w:rPr>
          <w:sz w:val="28"/>
          <w:szCs w:val="28"/>
        </w:rPr>
        <w:fldChar w:fldCharType="end"/>
      </w:r>
      <w:r>
        <w:rPr>
          <w:sz w:val="28"/>
          <w:szCs w:val="28"/>
        </w:rPr>
        <w:fldChar w:fldCharType="end"/>
      </w:r>
    </w:p>
    <w:p w14:paraId="60AE8F11">
      <w:pPr>
        <w:pStyle w:val="12"/>
        <w:spacing w:line="460" w:lineRule="exact"/>
        <w:rPr>
          <w:rFonts w:ascii="Times New Roman" w:eastAsia="宋体"/>
        </w:rPr>
      </w:pPr>
      <w:r>
        <w:fldChar w:fldCharType="begin"/>
      </w:r>
      <w:r>
        <w:instrText xml:space="preserve"> HYPERLINK \l "_Toc118988235" </w:instrText>
      </w:r>
      <w:r>
        <w:fldChar w:fldCharType="separate"/>
      </w:r>
      <w:r>
        <w:rPr>
          <w:rStyle w:val="18"/>
          <w:rFonts w:hint="eastAsia" w:ascii="宋体" w:hAnsi="宋体" w:cs="宋体"/>
        </w:rPr>
        <w:t>（三）提升治理水平，强化市场监管力度</w:t>
      </w:r>
      <w:r>
        <w:tab/>
      </w:r>
      <w:r>
        <w:fldChar w:fldCharType="begin"/>
      </w:r>
      <w:r>
        <w:instrText xml:space="preserve"> PAGEREF _Toc118988235 \h </w:instrText>
      </w:r>
      <w:r>
        <w:fldChar w:fldCharType="separate"/>
      </w:r>
      <w:r>
        <w:t>88</w:t>
      </w:r>
      <w:r>
        <w:fldChar w:fldCharType="end"/>
      </w:r>
      <w:r>
        <w:fldChar w:fldCharType="end"/>
      </w:r>
    </w:p>
    <w:p w14:paraId="10A17766">
      <w:pPr>
        <w:pStyle w:val="8"/>
        <w:spacing w:line="460" w:lineRule="exact"/>
        <w:rPr>
          <w:sz w:val="28"/>
          <w:szCs w:val="28"/>
        </w:rPr>
      </w:pPr>
      <w:r>
        <w:fldChar w:fldCharType="begin"/>
      </w:r>
      <w:r>
        <w:instrText xml:space="preserve"> HYPERLINK \l "_Toc118988236"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净化旅游消费环境</w:t>
      </w:r>
      <w:r>
        <w:rPr>
          <w:sz w:val="28"/>
          <w:szCs w:val="28"/>
        </w:rPr>
        <w:tab/>
      </w:r>
      <w:r>
        <w:rPr>
          <w:sz w:val="28"/>
          <w:szCs w:val="28"/>
        </w:rPr>
        <w:fldChar w:fldCharType="begin"/>
      </w:r>
      <w:r>
        <w:rPr>
          <w:sz w:val="28"/>
          <w:szCs w:val="28"/>
        </w:rPr>
        <w:instrText xml:space="preserve"> PAGEREF _Toc118988236 \h </w:instrText>
      </w:r>
      <w:r>
        <w:rPr>
          <w:sz w:val="28"/>
          <w:szCs w:val="28"/>
        </w:rPr>
        <w:fldChar w:fldCharType="separate"/>
      </w:r>
      <w:r>
        <w:rPr>
          <w:sz w:val="28"/>
          <w:szCs w:val="28"/>
        </w:rPr>
        <w:t>88</w:t>
      </w:r>
      <w:r>
        <w:rPr>
          <w:sz w:val="28"/>
          <w:szCs w:val="28"/>
        </w:rPr>
        <w:fldChar w:fldCharType="end"/>
      </w:r>
      <w:r>
        <w:rPr>
          <w:sz w:val="28"/>
          <w:szCs w:val="28"/>
        </w:rPr>
        <w:fldChar w:fldCharType="end"/>
      </w:r>
    </w:p>
    <w:p w14:paraId="25A3614B">
      <w:pPr>
        <w:pStyle w:val="8"/>
        <w:spacing w:line="460" w:lineRule="exact"/>
        <w:rPr>
          <w:sz w:val="28"/>
          <w:szCs w:val="28"/>
        </w:rPr>
      </w:pPr>
      <w:r>
        <w:fldChar w:fldCharType="begin"/>
      </w:r>
      <w:r>
        <w:instrText xml:space="preserve"> HYPERLINK \l "_Toc118988237"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加强文化市场监管</w:t>
      </w:r>
      <w:r>
        <w:rPr>
          <w:sz w:val="28"/>
          <w:szCs w:val="28"/>
        </w:rPr>
        <w:tab/>
      </w:r>
      <w:r>
        <w:rPr>
          <w:sz w:val="28"/>
          <w:szCs w:val="28"/>
        </w:rPr>
        <w:fldChar w:fldCharType="begin"/>
      </w:r>
      <w:r>
        <w:rPr>
          <w:sz w:val="28"/>
          <w:szCs w:val="28"/>
        </w:rPr>
        <w:instrText xml:space="preserve"> PAGEREF _Toc118988237 \h </w:instrText>
      </w:r>
      <w:r>
        <w:rPr>
          <w:sz w:val="28"/>
          <w:szCs w:val="28"/>
        </w:rPr>
        <w:fldChar w:fldCharType="separate"/>
      </w:r>
      <w:r>
        <w:rPr>
          <w:sz w:val="28"/>
          <w:szCs w:val="28"/>
        </w:rPr>
        <w:t>89</w:t>
      </w:r>
      <w:r>
        <w:rPr>
          <w:sz w:val="28"/>
          <w:szCs w:val="28"/>
        </w:rPr>
        <w:fldChar w:fldCharType="end"/>
      </w:r>
      <w:r>
        <w:rPr>
          <w:sz w:val="28"/>
          <w:szCs w:val="28"/>
        </w:rPr>
        <w:fldChar w:fldCharType="end"/>
      </w:r>
    </w:p>
    <w:p w14:paraId="6A52439B">
      <w:pPr>
        <w:pStyle w:val="8"/>
        <w:spacing w:line="460" w:lineRule="exact"/>
        <w:rPr>
          <w:sz w:val="28"/>
          <w:szCs w:val="28"/>
        </w:rPr>
      </w:pPr>
      <w:r>
        <w:fldChar w:fldCharType="begin"/>
      </w:r>
      <w:r>
        <w:instrText xml:space="preserve"> HYPERLINK \l "_Toc118988238"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创新广电监管手段</w:t>
      </w:r>
      <w:r>
        <w:rPr>
          <w:sz w:val="28"/>
          <w:szCs w:val="28"/>
        </w:rPr>
        <w:tab/>
      </w:r>
      <w:r>
        <w:rPr>
          <w:sz w:val="28"/>
          <w:szCs w:val="28"/>
        </w:rPr>
        <w:fldChar w:fldCharType="begin"/>
      </w:r>
      <w:r>
        <w:rPr>
          <w:sz w:val="28"/>
          <w:szCs w:val="28"/>
        </w:rPr>
        <w:instrText xml:space="preserve"> PAGEREF _Toc118988238 \h </w:instrText>
      </w:r>
      <w:r>
        <w:rPr>
          <w:sz w:val="28"/>
          <w:szCs w:val="28"/>
        </w:rPr>
        <w:fldChar w:fldCharType="separate"/>
      </w:r>
      <w:r>
        <w:rPr>
          <w:sz w:val="28"/>
          <w:szCs w:val="28"/>
        </w:rPr>
        <w:t>89</w:t>
      </w:r>
      <w:r>
        <w:rPr>
          <w:sz w:val="28"/>
          <w:szCs w:val="28"/>
        </w:rPr>
        <w:fldChar w:fldCharType="end"/>
      </w:r>
      <w:r>
        <w:rPr>
          <w:sz w:val="28"/>
          <w:szCs w:val="28"/>
        </w:rPr>
        <w:fldChar w:fldCharType="end"/>
      </w:r>
    </w:p>
    <w:p w14:paraId="68A7EA6C">
      <w:pPr>
        <w:pStyle w:val="8"/>
        <w:spacing w:line="460" w:lineRule="exact"/>
        <w:rPr>
          <w:sz w:val="28"/>
          <w:szCs w:val="28"/>
        </w:rPr>
      </w:pPr>
      <w:r>
        <w:fldChar w:fldCharType="begin"/>
      </w:r>
      <w:r>
        <w:instrText xml:space="preserve"> HYPERLINK \l "_Toc118988239"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完善体育市场监管</w:t>
      </w:r>
      <w:r>
        <w:rPr>
          <w:sz w:val="28"/>
          <w:szCs w:val="28"/>
        </w:rPr>
        <w:tab/>
      </w:r>
      <w:r>
        <w:rPr>
          <w:sz w:val="28"/>
          <w:szCs w:val="28"/>
        </w:rPr>
        <w:fldChar w:fldCharType="begin"/>
      </w:r>
      <w:r>
        <w:rPr>
          <w:sz w:val="28"/>
          <w:szCs w:val="28"/>
        </w:rPr>
        <w:instrText xml:space="preserve"> PAGEREF _Toc118988239 \h </w:instrText>
      </w:r>
      <w:r>
        <w:rPr>
          <w:sz w:val="28"/>
          <w:szCs w:val="28"/>
        </w:rPr>
        <w:fldChar w:fldCharType="separate"/>
      </w:r>
      <w:r>
        <w:rPr>
          <w:sz w:val="28"/>
          <w:szCs w:val="28"/>
        </w:rPr>
        <w:t>90</w:t>
      </w:r>
      <w:r>
        <w:rPr>
          <w:sz w:val="28"/>
          <w:szCs w:val="28"/>
        </w:rPr>
        <w:fldChar w:fldCharType="end"/>
      </w:r>
      <w:r>
        <w:rPr>
          <w:sz w:val="28"/>
          <w:szCs w:val="28"/>
        </w:rPr>
        <w:fldChar w:fldCharType="end"/>
      </w:r>
    </w:p>
    <w:p w14:paraId="04E97361">
      <w:pPr>
        <w:pStyle w:val="8"/>
        <w:spacing w:line="460" w:lineRule="exact"/>
        <w:rPr>
          <w:sz w:val="28"/>
          <w:szCs w:val="28"/>
        </w:rPr>
      </w:pPr>
      <w:r>
        <w:fldChar w:fldCharType="begin"/>
      </w:r>
      <w:r>
        <w:instrText xml:space="preserve"> HYPERLINK \l "_Toc118988240"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发挥行业协会作用</w:t>
      </w:r>
      <w:r>
        <w:rPr>
          <w:sz w:val="28"/>
          <w:szCs w:val="28"/>
        </w:rPr>
        <w:tab/>
      </w:r>
      <w:r>
        <w:rPr>
          <w:sz w:val="28"/>
          <w:szCs w:val="28"/>
        </w:rPr>
        <w:fldChar w:fldCharType="begin"/>
      </w:r>
      <w:r>
        <w:rPr>
          <w:sz w:val="28"/>
          <w:szCs w:val="28"/>
        </w:rPr>
        <w:instrText xml:space="preserve"> PAGEREF _Toc118988240 \h </w:instrText>
      </w:r>
      <w:r>
        <w:rPr>
          <w:sz w:val="28"/>
          <w:szCs w:val="28"/>
        </w:rPr>
        <w:fldChar w:fldCharType="separate"/>
      </w:r>
      <w:r>
        <w:rPr>
          <w:sz w:val="28"/>
          <w:szCs w:val="28"/>
        </w:rPr>
        <w:t>90</w:t>
      </w:r>
      <w:r>
        <w:rPr>
          <w:sz w:val="28"/>
          <w:szCs w:val="28"/>
        </w:rPr>
        <w:fldChar w:fldCharType="end"/>
      </w:r>
      <w:r>
        <w:rPr>
          <w:sz w:val="28"/>
          <w:szCs w:val="28"/>
        </w:rPr>
        <w:fldChar w:fldCharType="end"/>
      </w:r>
    </w:p>
    <w:p w14:paraId="6399868F">
      <w:pPr>
        <w:pStyle w:val="12"/>
        <w:spacing w:line="460" w:lineRule="exact"/>
        <w:rPr>
          <w:rFonts w:ascii="Times New Roman" w:eastAsia="宋体"/>
        </w:rPr>
      </w:pPr>
      <w:r>
        <w:fldChar w:fldCharType="begin"/>
      </w:r>
      <w:r>
        <w:instrText xml:space="preserve"> HYPERLINK \l "_Toc118988241" </w:instrText>
      </w:r>
      <w:r>
        <w:fldChar w:fldCharType="separate"/>
      </w:r>
      <w:r>
        <w:rPr>
          <w:rStyle w:val="18"/>
          <w:rFonts w:hint="eastAsia" w:ascii="宋体" w:hAnsi="宋体" w:cs="宋体"/>
        </w:rPr>
        <w:t>（四）坚持绿色环保，践行生态发展路径</w:t>
      </w:r>
      <w:r>
        <w:tab/>
      </w:r>
      <w:r>
        <w:fldChar w:fldCharType="begin"/>
      </w:r>
      <w:r>
        <w:instrText xml:space="preserve"> PAGEREF _Toc118988241 \h </w:instrText>
      </w:r>
      <w:r>
        <w:fldChar w:fldCharType="separate"/>
      </w:r>
      <w:r>
        <w:t>90</w:t>
      </w:r>
      <w:r>
        <w:fldChar w:fldCharType="end"/>
      </w:r>
      <w:r>
        <w:fldChar w:fldCharType="end"/>
      </w:r>
    </w:p>
    <w:p w14:paraId="6F62B80F">
      <w:pPr>
        <w:pStyle w:val="8"/>
        <w:spacing w:line="460" w:lineRule="exact"/>
        <w:rPr>
          <w:sz w:val="28"/>
          <w:szCs w:val="28"/>
        </w:rPr>
      </w:pPr>
      <w:r>
        <w:fldChar w:fldCharType="begin"/>
      </w:r>
      <w:r>
        <w:instrText xml:space="preserve"> HYPERLINK \l "_Toc118988242"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全速推动绿色低碳转型</w:t>
      </w:r>
      <w:r>
        <w:rPr>
          <w:sz w:val="28"/>
          <w:szCs w:val="28"/>
        </w:rPr>
        <w:tab/>
      </w:r>
      <w:r>
        <w:rPr>
          <w:sz w:val="28"/>
          <w:szCs w:val="28"/>
        </w:rPr>
        <w:fldChar w:fldCharType="begin"/>
      </w:r>
      <w:r>
        <w:rPr>
          <w:sz w:val="28"/>
          <w:szCs w:val="28"/>
        </w:rPr>
        <w:instrText xml:space="preserve"> PAGEREF _Toc118988242 \h </w:instrText>
      </w:r>
      <w:r>
        <w:rPr>
          <w:sz w:val="28"/>
          <w:szCs w:val="28"/>
        </w:rPr>
        <w:fldChar w:fldCharType="separate"/>
      </w:r>
      <w:r>
        <w:rPr>
          <w:sz w:val="28"/>
          <w:szCs w:val="28"/>
        </w:rPr>
        <w:t>90</w:t>
      </w:r>
      <w:r>
        <w:rPr>
          <w:sz w:val="28"/>
          <w:szCs w:val="28"/>
        </w:rPr>
        <w:fldChar w:fldCharType="end"/>
      </w:r>
      <w:r>
        <w:rPr>
          <w:sz w:val="28"/>
          <w:szCs w:val="28"/>
        </w:rPr>
        <w:fldChar w:fldCharType="end"/>
      </w:r>
    </w:p>
    <w:p w14:paraId="2C03F46F">
      <w:pPr>
        <w:pStyle w:val="8"/>
        <w:spacing w:line="460" w:lineRule="exact"/>
        <w:rPr>
          <w:sz w:val="28"/>
          <w:szCs w:val="28"/>
        </w:rPr>
      </w:pPr>
      <w:r>
        <w:fldChar w:fldCharType="begin"/>
      </w:r>
      <w:r>
        <w:instrText xml:space="preserve"> HYPERLINK \l "_Toc118988243"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切实落实各项环保措施</w:t>
      </w:r>
      <w:r>
        <w:rPr>
          <w:sz w:val="28"/>
          <w:szCs w:val="28"/>
        </w:rPr>
        <w:tab/>
      </w:r>
      <w:r>
        <w:rPr>
          <w:sz w:val="28"/>
          <w:szCs w:val="28"/>
        </w:rPr>
        <w:fldChar w:fldCharType="begin"/>
      </w:r>
      <w:r>
        <w:rPr>
          <w:sz w:val="28"/>
          <w:szCs w:val="28"/>
        </w:rPr>
        <w:instrText xml:space="preserve"> PAGEREF _Toc118988243 \h </w:instrText>
      </w:r>
      <w:r>
        <w:rPr>
          <w:sz w:val="28"/>
          <w:szCs w:val="28"/>
        </w:rPr>
        <w:fldChar w:fldCharType="separate"/>
      </w:r>
      <w:r>
        <w:rPr>
          <w:sz w:val="28"/>
          <w:szCs w:val="28"/>
        </w:rPr>
        <w:t>91</w:t>
      </w:r>
      <w:r>
        <w:rPr>
          <w:sz w:val="28"/>
          <w:szCs w:val="28"/>
        </w:rPr>
        <w:fldChar w:fldCharType="end"/>
      </w:r>
      <w:r>
        <w:rPr>
          <w:sz w:val="28"/>
          <w:szCs w:val="28"/>
        </w:rPr>
        <w:fldChar w:fldCharType="end"/>
      </w:r>
    </w:p>
    <w:p w14:paraId="6B99D7D1">
      <w:pPr>
        <w:pStyle w:val="8"/>
        <w:spacing w:line="460" w:lineRule="exact"/>
        <w:rPr>
          <w:sz w:val="28"/>
          <w:szCs w:val="28"/>
        </w:rPr>
      </w:pPr>
      <w:r>
        <w:fldChar w:fldCharType="begin"/>
      </w:r>
      <w:r>
        <w:instrText xml:space="preserve"> HYPERLINK \l "_Toc118988244"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大力培育环保意识理念</w:t>
      </w:r>
      <w:r>
        <w:rPr>
          <w:sz w:val="28"/>
          <w:szCs w:val="28"/>
        </w:rPr>
        <w:tab/>
      </w:r>
      <w:r>
        <w:rPr>
          <w:sz w:val="28"/>
          <w:szCs w:val="28"/>
        </w:rPr>
        <w:fldChar w:fldCharType="begin"/>
      </w:r>
      <w:r>
        <w:rPr>
          <w:sz w:val="28"/>
          <w:szCs w:val="28"/>
        </w:rPr>
        <w:instrText xml:space="preserve"> PAGEREF _Toc118988244 \h </w:instrText>
      </w:r>
      <w:r>
        <w:rPr>
          <w:sz w:val="28"/>
          <w:szCs w:val="28"/>
        </w:rPr>
        <w:fldChar w:fldCharType="separate"/>
      </w:r>
      <w:r>
        <w:rPr>
          <w:sz w:val="28"/>
          <w:szCs w:val="28"/>
        </w:rPr>
        <w:t>91</w:t>
      </w:r>
      <w:r>
        <w:rPr>
          <w:sz w:val="28"/>
          <w:szCs w:val="28"/>
        </w:rPr>
        <w:fldChar w:fldCharType="end"/>
      </w:r>
      <w:r>
        <w:rPr>
          <w:sz w:val="28"/>
          <w:szCs w:val="28"/>
        </w:rPr>
        <w:fldChar w:fldCharType="end"/>
      </w:r>
    </w:p>
    <w:p w14:paraId="4FC150A5">
      <w:pPr>
        <w:pStyle w:val="11"/>
        <w:spacing w:line="460" w:lineRule="exact"/>
        <w:rPr>
          <w:rFonts w:ascii="Times New Roman" w:eastAsia="宋体"/>
          <w:b w:val="0"/>
          <w:bCs w:val="0"/>
          <w:caps w:val="0"/>
          <w:sz w:val="28"/>
        </w:rPr>
      </w:pPr>
      <w:r>
        <w:fldChar w:fldCharType="begin"/>
      </w:r>
      <w:r>
        <w:instrText xml:space="preserve"> HYPERLINK \l "_Toc118988245" </w:instrText>
      </w:r>
      <w:r>
        <w:fldChar w:fldCharType="separate"/>
      </w:r>
      <w:r>
        <w:rPr>
          <w:rStyle w:val="18"/>
          <w:rFonts w:hint="eastAsia" w:ascii="微软雅黑" w:hAnsi="微软雅黑" w:eastAsia="微软雅黑" w:cs="微软雅黑"/>
          <w:sz w:val="28"/>
        </w:rPr>
        <w:t>五、保障措施</w:t>
      </w:r>
      <w:r>
        <w:rPr>
          <w:sz w:val="28"/>
        </w:rPr>
        <w:tab/>
      </w:r>
      <w:r>
        <w:rPr>
          <w:sz w:val="28"/>
        </w:rPr>
        <w:fldChar w:fldCharType="begin"/>
      </w:r>
      <w:r>
        <w:rPr>
          <w:sz w:val="28"/>
        </w:rPr>
        <w:instrText xml:space="preserve"> PAGEREF _Toc118988245 \h </w:instrText>
      </w:r>
      <w:r>
        <w:rPr>
          <w:sz w:val="28"/>
        </w:rPr>
        <w:fldChar w:fldCharType="separate"/>
      </w:r>
      <w:r>
        <w:rPr>
          <w:sz w:val="28"/>
        </w:rPr>
        <w:t>92</w:t>
      </w:r>
      <w:r>
        <w:rPr>
          <w:sz w:val="28"/>
        </w:rPr>
        <w:fldChar w:fldCharType="end"/>
      </w:r>
      <w:r>
        <w:rPr>
          <w:sz w:val="28"/>
        </w:rPr>
        <w:fldChar w:fldCharType="end"/>
      </w:r>
    </w:p>
    <w:p w14:paraId="65B2BE8C">
      <w:pPr>
        <w:pStyle w:val="12"/>
        <w:spacing w:line="460" w:lineRule="exact"/>
        <w:rPr>
          <w:rFonts w:ascii="Times New Roman" w:eastAsia="宋体"/>
        </w:rPr>
      </w:pPr>
      <w:r>
        <w:fldChar w:fldCharType="begin"/>
      </w:r>
      <w:r>
        <w:instrText xml:space="preserve"> HYPERLINK \l "_Toc118988246" </w:instrText>
      </w:r>
      <w:r>
        <w:fldChar w:fldCharType="separate"/>
      </w:r>
      <w:r>
        <w:rPr>
          <w:rStyle w:val="18"/>
          <w:rFonts w:hint="eastAsia" w:ascii="宋体" w:hAnsi="宋体" w:cs="宋体"/>
        </w:rPr>
        <w:t>（一）体制机制保障</w:t>
      </w:r>
      <w:r>
        <w:tab/>
      </w:r>
      <w:r>
        <w:fldChar w:fldCharType="begin"/>
      </w:r>
      <w:r>
        <w:instrText xml:space="preserve"> PAGEREF _Toc118988246 \h </w:instrText>
      </w:r>
      <w:r>
        <w:fldChar w:fldCharType="separate"/>
      </w:r>
      <w:r>
        <w:t>92</w:t>
      </w:r>
      <w:r>
        <w:fldChar w:fldCharType="end"/>
      </w:r>
      <w:r>
        <w:fldChar w:fldCharType="end"/>
      </w:r>
    </w:p>
    <w:p w14:paraId="36E0595E">
      <w:pPr>
        <w:pStyle w:val="12"/>
        <w:spacing w:line="460" w:lineRule="exact"/>
        <w:rPr>
          <w:rFonts w:ascii="Times New Roman" w:eastAsia="宋体"/>
        </w:rPr>
      </w:pPr>
      <w:r>
        <w:fldChar w:fldCharType="begin"/>
      </w:r>
      <w:r>
        <w:instrText xml:space="preserve"> HYPERLINK \l "_Toc118988247" </w:instrText>
      </w:r>
      <w:r>
        <w:fldChar w:fldCharType="separate"/>
      </w:r>
      <w:r>
        <w:rPr>
          <w:rStyle w:val="18"/>
          <w:rFonts w:hint="eastAsia" w:ascii="宋体" w:hAnsi="宋体" w:cs="宋体"/>
        </w:rPr>
        <w:t>（二）政策落实保障</w:t>
      </w:r>
      <w:r>
        <w:tab/>
      </w:r>
      <w:r>
        <w:fldChar w:fldCharType="begin"/>
      </w:r>
      <w:r>
        <w:instrText xml:space="preserve"> PAGEREF _Toc118988247 \h </w:instrText>
      </w:r>
      <w:r>
        <w:fldChar w:fldCharType="separate"/>
      </w:r>
      <w:r>
        <w:t>92</w:t>
      </w:r>
      <w:r>
        <w:fldChar w:fldCharType="end"/>
      </w:r>
      <w:r>
        <w:fldChar w:fldCharType="end"/>
      </w:r>
    </w:p>
    <w:p w14:paraId="1B9BBFA0">
      <w:pPr>
        <w:pStyle w:val="12"/>
        <w:spacing w:line="460" w:lineRule="exact"/>
        <w:rPr>
          <w:rFonts w:ascii="Times New Roman" w:eastAsia="宋体"/>
        </w:rPr>
      </w:pPr>
      <w:r>
        <w:fldChar w:fldCharType="begin"/>
      </w:r>
      <w:r>
        <w:instrText xml:space="preserve"> HYPERLINK \l "_Toc118988248" </w:instrText>
      </w:r>
      <w:r>
        <w:fldChar w:fldCharType="separate"/>
      </w:r>
      <w:r>
        <w:rPr>
          <w:rStyle w:val="18"/>
          <w:rFonts w:hint="eastAsia" w:ascii="宋体" w:hAnsi="宋体" w:cs="宋体"/>
        </w:rPr>
        <w:t>（三）法治赋能保障</w:t>
      </w:r>
      <w:r>
        <w:tab/>
      </w:r>
      <w:r>
        <w:fldChar w:fldCharType="begin"/>
      </w:r>
      <w:r>
        <w:instrText xml:space="preserve"> PAGEREF _Toc118988248 \h </w:instrText>
      </w:r>
      <w:r>
        <w:fldChar w:fldCharType="separate"/>
      </w:r>
      <w:r>
        <w:t>93</w:t>
      </w:r>
      <w:r>
        <w:fldChar w:fldCharType="end"/>
      </w:r>
      <w:r>
        <w:fldChar w:fldCharType="end"/>
      </w:r>
    </w:p>
    <w:p w14:paraId="5A76B438">
      <w:pPr>
        <w:pStyle w:val="12"/>
        <w:spacing w:line="460" w:lineRule="exact"/>
        <w:rPr>
          <w:rFonts w:ascii="Times New Roman" w:eastAsia="宋体"/>
        </w:rPr>
      </w:pPr>
      <w:r>
        <w:fldChar w:fldCharType="begin"/>
      </w:r>
      <w:r>
        <w:instrText xml:space="preserve"> HYPERLINK \l "_Toc118988249" </w:instrText>
      </w:r>
      <w:r>
        <w:fldChar w:fldCharType="separate"/>
      </w:r>
      <w:r>
        <w:rPr>
          <w:rStyle w:val="18"/>
          <w:rFonts w:hint="eastAsia" w:ascii="宋体" w:hAnsi="宋体" w:cs="宋体"/>
        </w:rPr>
        <w:t>（四）资金支持保障</w:t>
      </w:r>
      <w:r>
        <w:tab/>
      </w:r>
      <w:r>
        <w:fldChar w:fldCharType="begin"/>
      </w:r>
      <w:r>
        <w:instrText xml:space="preserve"> PAGEREF _Toc118988249 \h </w:instrText>
      </w:r>
      <w:r>
        <w:fldChar w:fldCharType="separate"/>
      </w:r>
      <w:r>
        <w:t>93</w:t>
      </w:r>
      <w:r>
        <w:fldChar w:fldCharType="end"/>
      </w:r>
      <w:r>
        <w:fldChar w:fldCharType="end"/>
      </w:r>
    </w:p>
    <w:p w14:paraId="496C40F0">
      <w:pPr>
        <w:pStyle w:val="12"/>
        <w:spacing w:line="460" w:lineRule="exact"/>
        <w:rPr>
          <w:rFonts w:ascii="Times New Roman" w:eastAsia="宋体"/>
        </w:rPr>
      </w:pPr>
      <w:r>
        <w:fldChar w:fldCharType="begin"/>
      </w:r>
      <w:r>
        <w:instrText xml:space="preserve"> HYPERLINK \l "_Toc118988250" </w:instrText>
      </w:r>
      <w:r>
        <w:fldChar w:fldCharType="separate"/>
      </w:r>
      <w:r>
        <w:rPr>
          <w:rStyle w:val="18"/>
          <w:rFonts w:hint="eastAsia" w:ascii="宋体" w:hAnsi="宋体" w:cs="宋体"/>
        </w:rPr>
        <w:t>（五）人才培养保障</w:t>
      </w:r>
      <w:r>
        <w:tab/>
      </w:r>
      <w:r>
        <w:fldChar w:fldCharType="begin"/>
      </w:r>
      <w:r>
        <w:instrText xml:space="preserve"> PAGEREF _Toc118988250 \h </w:instrText>
      </w:r>
      <w:r>
        <w:fldChar w:fldCharType="separate"/>
      </w:r>
      <w:r>
        <w:t>94</w:t>
      </w:r>
      <w:r>
        <w:fldChar w:fldCharType="end"/>
      </w:r>
      <w:r>
        <w:fldChar w:fldCharType="end"/>
      </w:r>
    </w:p>
    <w:p w14:paraId="74C24052">
      <w:pPr>
        <w:pStyle w:val="12"/>
        <w:spacing w:line="460" w:lineRule="exact"/>
        <w:rPr>
          <w:rFonts w:ascii="Times New Roman" w:eastAsia="宋体"/>
        </w:rPr>
      </w:pPr>
      <w:r>
        <w:fldChar w:fldCharType="begin"/>
      </w:r>
      <w:r>
        <w:instrText xml:space="preserve"> HYPERLINK \l "_Toc118988251" </w:instrText>
      </w:r>
      <w:r>
        <w:fldChar w:fldCharType="separate"/>
      </w:r>
      <w:r>
        <w:rPr>
          <w:rStyle w:val="18"/>
          <w:rFonts w:hint="eastAsia" w:ascii="宋体" w:hAnsi="宋体" w:cs="宋体"/>
        </w:rPr>
        <w:t>（六）安全防范保障</w:t>
      </w:r>
      <w:r>
        <w:tab/>
      </w:r>
      <w:r>
        <w:fldChar w:fldCharType="begin"/>
      </w:r>
      <w:r>
        <w:instrText xml:space="preserve"> PAGEREF _Toc118988251 \h </w:instrText>
      </w:r>
      <w:r>
        <w:fldChar w:fldCharType="separate"/>
      </w:r>
      <w:r>
        <w:t>95</w:t>
      </w:r>
      <w:r>
        <w:fldChar w:fldCharType="end"/>
      </w:r>
      <w:r>
        <w:fldChar w:fldCharType="end"/>
      </w:r>
    </w:p>
    <w:p w14:paraId="045D5BFD">
      <w:pPr>
        <w:tabs>
          <w:tab w:val="right" w:leader="middleDot" w:pos="8400"/>
        </w:tabs>
        <w:spacing w:line="460" w:lineRule="exact"/>
        <w:rPr>
          <w:rFonts w:ascii="仿宋_GB2312" w:eastAsia="仿宋_GB2312"/>
          <w:color w:val="000000"/>
          <w:kern w:val="0"/>
          <w:sz w:val="28"/>
          <w:szCs w:val="28"/>
        </w:rPr>
      </w:pPr>
      <w:r>
        <w:rPr>
          <w:rFonts w:ascii="仿宋_GB2312"/>
          <w:color w:val="000000"/>
          <w:kern w:val="0"/>
          <w:sz w:val="28"/>
        </w:rPr>
        <w:fldChar w:fldCharType="end"/>
      </w:r>
    </w:p>
    <w:p w14:paraId="58CD00A1">
      <w:pPr>
        <w:tabs>
          <w:tab w:val="right" w:leader="middleDot" w:pos="8400"/>
        </w:tabs>
        <w:spacing w:line="460" w:lineRule="exact"/>
        <w:rPr>
          <w:color w:val="000000"/>
          <w:kern w:val="0"/>
          <w:sz w:val="28"/>
          <w:szCs w:val="28"/>
        </w:rPr>
      </w:pPr>
    </w:p>
    <w:p w14:paraId="223EA3FE">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1</w:t>
      </w:r>
      <w:r>
        <w:rPr>
          <w:rFonts w:hint="eastAsia" w:eastAsia="仿宋_GB2312"/>
          <w:color w:val="000000"/>
          <w:spacing w:val="-6"/>
          <w:sz w:val="28"/>
          <w:szCs w:val="28"/>
        </w:rPr>
        <w:t>：鄂州市文化旅游体育广电资源分布图</w:t>
      </w:r>
    </w:p>
    <w:p w14:paraId="21DC19C1">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2</w:t>
      </w:r>
      <w:r>
        <w:rPr>
          <w:rFonts w:hint="eastAsia" w:eastAsia="仿宋_GB2312"/>
          <w:color w:val="000000"/>
          <w:spacing w:val="-6"/>
          <w:sz w:val="28"/>
          <w:szCs w:val="28"/>
        </w:rPr>
        <w:t>：鄂州市“十四五”文化旅游体育广电功能布局图</w:t>
      </w:r>
    </w:p>
    <w:p w14:paraId="01D4C7E9">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3</w:t>
      </w:r>
      <w:r>
        <w:rPr>
          <w:rFonts w:hint="eastAsia" w:eastAsia="仿宋_GB2312"/>
          <w:color w:val="000000"/>
          <w:spacing w:val="-6"/>
          <w:sz w:val="28"/>
          <w:szCs w:val="28"/>
        </w:rPr>
        <w:t>：鄂州市“十四五”文化旅游体育广电特色旅游板块分布图</w:t>
      </w:r>
    </w:p>
    <w:p w14:paraId="0FD531F7">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4</w:t>
      </w:r>
      <w:r>
        <w:rPr>
          <w:rFonts w:hint="eastAsia" w:eastAsia="仿宋_GB2312"/>
          <w:color w:val="000000"/>
          <w:spacing w:val="-6"/>
          <w:sz w:val="28"/>
          <w:szCs w:val="28"/>
        </w:rPr>
        <w:t>：鄂州市“十四五”文化旅游体育广电重点建设项目分布图</w:t>
      </w:r>
    </w:p>
    <w:p w14:paraId="4600834E">
      <w:pPr>
        <w:tabs>
          <w:tab w:val="right" w:leader="middleDot" w:pos="8400"/>
        </w:tabs>
        <w:spacing w:line="460" w:lineRule="exact"/>
        <w:rPr>
          <w:rFonts w:eastAsia="仿宋_GB2312"/>
          <w:color w:val="000000"/>
          <w:spacing w:val="-6"/>
          <w:sz w:val="28"/>
          <w:szCs w:val="28"/>
        </w:rPr>
      </w:pPr>
    </w:p>
    <w:p w14:paraId="5BF37C08">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附表</w:t>
      </w:r>
      <w:r>
        <w:rPr>
          <w:rFonts w:eastAsia="仿宋_GB2312"/>
          <w:color w:val="000000"/>
          <w:spacing w:val="-6"/>
          <w:sz w:val="28"/>
          <w:szCs w:val="28"/>
        </w:rPr>
        <w:t>1</w:t>
      </w:r>
      <w:r>
        <w:rPr>
          <w:rFonts w:hint="eastAsia" w:eastAsia="仿宋_GB2312"/>
          <w:color w:val="000000"/>
          <w:spacing w:val="-6"/>
          <w:sz w:val="28"/>
          <w:szCs w:val="28"/>
        </w:rPr>
        <w:t>：鄂州市“十四五”文旅体广产业类建设项目库</w:t>
      </w:r>
    </w:p>
    <w:p w14:paraId="76FB8C74">
      <w:pPr>
        <w:tabs>
          <w:tab w:val="right" w:leader="middleDot" w:pos="8400"/>
        </w:tabs>
        <w:spacing w:line="460" w:lineRule="exact"/>
        <w:rPr>
          <w:rFonts w:eastAsia="仿宋_GB2312"/>
          <w:color w:val="000000"/>
          <w:spacing w:val="-6"/>
          <w:sz w:val="28"/>
          <w:szCs w:val="28"/>
        </w:rPr>
        <w:sectPr>
          <w:footerReference r:id="rId7" w:type="default"/>
          <w:pgSz w:w="11906" w:h="16838"/>
          <w:pgMar w:top="1701" w:right="1797" w:bottom="1440" w:left="1797" w:header="851" w:footer="1134" w:gutter="0"/>
          <w:pgNumType w:fmt="upperRoman" w:start="1"/>
          <w:cols w:space="720" w:num="1"/>
          <w:docGrid w:type="lines" w:linePitch="312" w:charSpace="0"/>
        </w:sectPr>
      </w:pPr>
      <w:r>
        <w:rPr>
          <w:rFonts w:hint="eastAsia" w:eastAsia="仿宋_GB2312"/>
          <w:color w:val="000000"/>
          <w:spacing w:val="-6"/>
          <w:sz w:val="28"/>
          <w:szCs w:val="28"/>
        </w:rPr>
        <w:t>附表</w:t>
      </w:r>
      <w:r>
        <w:rPr>
          <w:rFonts w:eastAsia="仿宋_GB2312"/>
          <w:color w:val="000000"/>
          <w:spacing w:val="-6"/>
          <w:sz w:val="28"/>
          <w:szCs w:val="28"/>
        </w:rPr>
        <w:t>2</w:t>
      </w:r>
      <w:r>
        <w:rPr>
          <w:rFonts w:hint="eastAsia" w:eastAsia="仿宋_GB2312"/>
          <w:color w:val="000000"/>
          <w:spacing w:val="-6"/>
          <w:sz w:val="28"/>
          <w:szCs w:val="28"/>
        </w:rPr>
        <w:t>：鄂州市“十四五”文旅体广公共服务类建设项目库</w:t>
      </w:r>
    </w:p>
    <w:p w14:paraId="63526CD7">
      <w:pPr>
        <w:pStyle w:val="4"/>
        <w:spacing w:before="0" w:after="0" w:line="240" w:lineRule="auto"/>
        <w:ind w:firstLine="640" w:firstLineChars="200"/>
        <w:rPr>
          <w:rFonts w:ascii="微软雅黑" w:hAnsi="微软雅黑" w:eastAsia="微软雅黑" w:cs="微软雅黑"/>
          <w:bCs w:val="0"/>
          <w:color w:val="000000"/>
          <w:sz w:val="32"/>
          <w:szCs w:val="32"/>
        </w:rPr>
      </w:pPr>
      <w:bookmarkStart w:id="0" w:name="_Toc118988163"/>
      <w:bookmarkStart w:id="1" w:name="_Toc102401494"/>
      <w:r>
        <w:rPr>
          <w:rFonts w:hint="eastAsia" w:ascii="微软雅黑" w:hAnsi="微软雅黑" w:eastAsia="微软雅黑" w:cs="微软雅黑"/>
          <w:bCs w:val="0"/>
          <w:color w:val="000000"/>
          <w:sz w:val="32"/>
          <w:szCs w:val="32"/>
        </w:rPr>
        <w:t>一、发展基础</w:t>
      </w:r>
      <w:bookmarkEnd w:id="0"/>
      <w:bookmarkEnd w:id="1"/>
    </w:p>
    <w:p w14:paraId="770E77A9">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“十三五”时期，在鄂州市委、市政府的坚强领导下，全市文旅体新广（以下简称文旅系统）工作</w:t>
      </w:r>
      <w:bookmarkStart w:id="2" w:name="OLE_LINK2"/>
      <w:bookmarkStart w:id="3" w:name="OLE_LINK1"/>
      <w:r>
        <w:rPr>
          <w:rFonts w:hint="eastAsia" w:ascii="仿宋_GB2312" w:eastAsia="仿宋_GB2312" w:cs="仿宋_GB2312"/>
          <w:color w:val="000000"/>
          <w:kern w:val="0"/>
          <w:sz w:val="32"/>
          <w:szCs w:val="32"/>
        </w:rPr>
        <w:t>扎实推进成效显著。“十三五”</w:t>
      </w:r>
      <w:bookmarkEnd w:id="2"/>
      <w:bookmarkEnd w:id="3"/>
      <w:r>
        <w:rPr>
          <w:rFonts w:hint="eastAsia" w:ascii="仿宋_GB2312" w:eastAsia="仿宋_GB2312" w:cs="仿宋_GB2312"/>
          <w:color w:val="000000"/>
          <w:kern w:val="0"/>
          <w:sz w:val="32"/>
          <w:szCs w:val="32"/>
        </w:rPr>
        <w:t>规划涉及文化、旅游、体育、广电的目标任务基本完成，文化旅游体育广电产业事业发展取得新进展。</w:t>
      </w:r>
    </w:p>
    <w:p w14:paraId="4E8963DA">
      <w:pPr>
        <w:pStyle w:val="5"/>
        <w:spacing w:before="0" w:after="0" w:line="240" w:lineRule="auto"/>
        <w:ind w:firstLine="630" w:firstLineChars="196"/>
        <w:rPr>
          <w:rFonts w:ascii="?????" w:hAnsi="?????" w:cs="?????"/>
          <w:bCs w:val="0"/>
          <w:color w:val="000000"/>
        </w:rPr>
      </w:pPr>
      <w:bookmarkStart w:id="4" w:name="_Toc96722243"/>
      <w:bookmarkStart w:id="5" w:name="_Toc118988164"/>
      <w:bookmarkStart w:id="6" w:name="_Toc102401495"/>
      <w:r>
        <w:rPr>
          <w:rFonts w:hint="eastAsia" w:ascii="宋体" w:hAnsi="宋体" w:eastAsia="宋体" w:cs="宋体"/>
          <w:bCs w:val="0"/>
          <w:color w:val="000000"/>
        </w:rPr>
        <w:t>（一）</w:t>
      </w:r>
      <w:r>
        <w:rPr>
          <w:rFonts w:ascii="?????" w:hAnsi="?????" w:cs="?????"/>
          <w:bCs w:val="0"/>
          <w:color w:val="000000"/>
        </w:rPr>
        <w:t>“</w:t>
      </w:r>
      <w:r>
        <w:rPr>
          <w:rFonts w:hint="eastAsia" w:ascii="宋体" w:hAnsi="宋体" w:eastAsia="宋体" w:cs="宋体"/>
          <w:bCs w:val="0"/>
          <w:color w:val="000000"/>
        </w:rPr>
        <w:t>十三五</w:t>
      </w:r>
      <w:r>
        <w:rPr>
          <w:rFonts w:ascii="?????" w:hAnsi="?????" w:cs="?????"/>
          <w:bCs w:val="0"/>
          <w:color w:val="000000"/>
        </w:rPr>
        <w:t>”</w:t>
      </w:r>
      <w:r>
        <w:rPr>
          <w:rFonts w:hint="eastAsia" w:ascii="宋体" w:hAnsi="宋体" w:eastAsia="宋体" w:cs="宋体"/>
          <w:bCs w:val="0"/>
          <w:color w:val="000000"/>
        </w:rPr>
        <w:t>取得的成就</w:t>
      </w:r>
      <w:bookmarkEnd w:id="4"/>
      <w:bookmarkEnd w:id="5"/>
      <w:bookmarkEnd w:id="6"/>
    </w:p>
    <w:p w14:paraId="7547E9AB">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文旅体新广事业投入接近翻番。“十三五”时期，市级财政共投入文化旅游体育新闻出版广电传媒资金</w:t>
      </w:r>
      <w:r>
        <w:rPr>
          <w:rFonts w:ascii="仿宋_GB2312" w:eastAsia="仿宋_GB2312" w:cs="仿宋_GB2312"/>
          <w:color w:val="000000"/>
          <w:kern w:val="0"/>
          <w:sz w:val="32"/>
          <w:szCs w:val="32"/>
        </w:rPr>
        <w:t>8.22</w:t>
      </w:r>
      <w:r>
        <w:rPr>
          <w:rFonts w:hint="eastAsia" w:ascii="仿宋_GB2312" w:eastAsia="仿宋_GB2312" w:cs="仿宋_GB2312"/>
          <w:color w:val="000000"/>
          <w:kern w:val="0"/>
          <w:sz w:val="32"/>
          <w:szCs w:val="32"/>
        </w:rPr>
        <w:t>亿元。其中，</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1.12</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1.30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1.87</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17%</w:t>
      </w:r>
      <w:r>
        <w:rPr>
          <w:rFonts w:hint="eastAsia" w:ascii="仿宋_GB2312" w:eastAsia="仿宋_GB2312" w:cs="仿宋_GB2312"/>
          <w:color w:val="000000"/>
          <w:kern w:val="0"/>
          <w:sz w:val="32"/>
          <w:szCs w:val="32"/>
        </w:rPr>
        <w:t>。文化旅游体育设施建设取得突破性进展，文化体育公共服务供给能力大幅提升，逐步满足了人民群众的精神文化需求。</w:t>
      </w:r>
    </w:p>
    <w:p w14:paraId="5A3ACD1A">
      <w:pPr>
        <w:spacing w:line="560" w:lineRule="exact"/>
        <w:ind w:firstLine="420" w:firstLineChars="200"/>
        <w:rPr>
          <w:rFonts w:ascii="仿宋_GB2312" w:eastAsia="仿宋_GB2312" w:cs="仿宋_GB2312"/>
          <w:color w:val="000000"/>
          <w:kern w:val="0"/>
          <w:sz w:val="32"/>
          <w:szCs w:val="32"/>
        </w:rPr>
      </w:pPr>
      <w:r>
        <w:pict>
          <v:group id="组合 6" o:spid="_x0000_s1026" o:spt="203" style="position:absolute;left:0pt;margin-left:0pt;margin-top:14.2pt;height:274.55pt;width:405pt;mso-wrap-distance-bottom:0pt;mso-wrap-distance-left:9pt;mso-wrap-distance-right:9pt;mso-wrap-distance-top:0pt;z-index:251660288;mso-width-relative:page;mso-height-relative:page;" coordorigin="1800,2501" coordsize="8100,5491">
            <o:lock v:ext="edit"/>
            <v:shape id="_x0000_s1027" o:spid="_x0000_s1027" o:spt="75" type="#_x0000_t75" style="position:absolute;left:1800;top:2501;height:4750;width:8079;" filled="f" o:preferrelative="t" stroked="f" coordsize="21600,21600">
              <v:path/>
              <v:fill on="f" focussize="0,0"/>
              <v:stroke on="f" joinstyle="miter"/>
              <v:imagedata r:id="rId14" o:title=""/>
              <o:lock v:ext="edit" aspectratio="t"/>
            </v:shape>
            <v:shape id="文本框 5" o:spid="_x0000_s1028" o:spt="202" type="#_x0000_t202" style="position:absolute;left:1800;top:7368;height:624;width:8100;" filled="f" stroked="f" coordsize="21600,21600">
              <v:path/>
              <v:fill on="f" focussize="0,0"/>
              <v:stroke on="f" joinstyle="miter"/>
              <v:imagedata o:title=""/>
              <o:lock v:ext="edit"/>
              <v:textbox>
                <w:txbxContent>
                  <w:p w14:paraId="11C42BBF">
                    <w:pPr>
                      <w:rPr>
                        <w:rFonts w:ascii="仿宋_GB2312" w:eastAsia="仿宋_GB2312"/>
                        <w:sz w:val="24"/>
                      </w:rPr>
                    </w:pPr>
                    <w:r>
                      <w:rPr>
                        <w:rFonts w:hint="eastAsia" w:ascii="仿宋_GB2312" w:eastAsia="仿宋_GB2312"/>
                        <w:sz w:val="24"/>
                      </w:rPr>
                      <w:t>图</w:t>
                    </w:r>
                    <w:r>
                      <w:rPr>
                        <w:rFonts w:ascii="仿宋_GB2312" w:eastAsia="仿宋_GB2312"/>
                        <w:sz w:val="24"/>
                      </w:rPr>
                      <w:t>1-1 2016-2020</w:t>
                    </w:r>
                    <w:r>
                      <w:rPr>
                        <w:rFonts w:hint="eastAsia" w:ascii="仿宋_GB2312" w:eastAsia="仿宋_GB2312"/>
                        <w:sz w:val="24"/>
                      </w:rPr>
                      <w:t>鄂州市级财政投入文化旅游新闻广电传媒资金示意图</w:t>
                    </w:r>
                  </w:p>
                </w:txbxContent>
              </v:textbox>
            </v:shape>
            <w10:wrap type="square"/>
          </v:group>
        </w:pict>
      </w:r>
      <w:r>
        <w:rPr>
          <w:rFonts w:hint="eastAsia" w:ascii="仿宋_GB2312" w:eastAsia="仿宋_GB2312" w:cs="仿宋_GB2312"/>
          <w:color w:val="000000"/>
          <w:kern w:val="0"/>
          <w:sz w:val="32"/>
          <w:szCs w:val="32"/>
        </w:rPr>
        <w:t>旅游产业贡献不断提升。“十三五”时期，全市累计接待国内外游客</w:t>
      </w:r>
      <w:r>
        <w:rPr>
          <w:rFonts w:ascii="仿宋_GB2312" w:eastAsia="仿宋_GB2312" w:cs="仿宋_GB2312"/>
          <w:color w:val="000000"/>
          <w:kern w:val="0"/>
          <w:sz w:val="32"/>
          <w:szCs w:val="32"/>
        </w:rPr>
        <w:t>3080.48</w:t>
      </w:r>
      <w:r>
        <w:rPr>
          <w:rFonts w:hint="eastAsia" w:ascii="仿宋_GB2312" w:eastAsia="仿宋_GB2312" w:cs="仿宋_GB2312"/>
          <w:color w:val="000000"/>
          <w:kern w:val="0"/>
          <w:sz w:val="32"/>
          <w:szCs w:val="32"/>
        </w:rPr>
        <w:t>万人次，实现旅游总收入</w:t>
      </w:r>
      <w:r>
        <w:rPr>
          <w:rFonts w:ascii="仿宋_GB2312" w:eastAsia="仿宋_GB2312" w:cs="仿宋_GB2312"/>
          <w:color w:val="000000"/>
          <w:kern w:val="0"/>
          <w:sz w:val="32"/>
          <w:szCs w:val="32"/>
        </w:rPr>
        <w:t>255.88</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年，全市接待国内外游客共</w:t>
      </w:r>
      <w:r>
        <w:rPr>
          <w:rFonts w:ascii="仿宋_GB2312" w:eastAsia="仿宋_GB2312" w:cs="仿宋_GB2312"/>
          <w:color w:val="000000"/>
          <w:kern w:val="0"/>
          <w:sz w:val="32"/>
          <w:szCs w:val="32"/>
        </w:rPr>
        <w:t>2590.09</w:t>
      </w:r>
      <w:r>
        <w:rPr>
          <w:rFonts w:hint="eastAsia" w:ascii="仿宋_GB2312" w:eastAsia="仿宋_GB2312" w:cs="仿宋_GB2312"/>
          <w:color w:val="000000"/>
          <w:kern w:val="0"/>
          <w:sz w:val="32"/>
          <w:szCs w:val="32"/>
        </w:rPr>
        <w:t>万人次，年均增长</w:t>
      </w:r>
      <w:r>
        <w:rPr>
          <w:rFonts w:ascii="仿宋_GB2312" w:eastAsia="仿宋_GB2312" w:cs="仿宋_GB2312"/>
          <w:color w:val="000000"/>
          <w:kern w:val="0"/>
          <w:sz w:val="32"/>
          <w:szCs w:val="32"/>
        </w:rPr>
        <w:t>8.39%</w:t>
      </w:r>
      <w:r>
        <w:rPr>
          <w:rFonts w:hint="eastAsia" w:ascii="仿宋_GB2312" w:eastAsia="仿宋_GB2312" w:cs="仿宋_GB2312"/>
          <w:color w:val="000000"/>
          <w:kern w:val="0"/>
          <w:sz w:val="32"/>
          <w:szCs w:val="32"/>
        </w:rPr>
        <w:t>；实现旅游总收入</w:t>
      </w:r>
      <w:r>
        <w:rPr>
          <w:rFonts w:ascii="仿宋_GB2312" w:eastAsia="仿宋_GB2312" w:cs="仿宋_GB2312"/>
          <w:color w:val="000000"/>
          <w:kern w:val="0"/>
          <w:sz w:val="32"/>
          <w:szCs w:val="32"/>
        </w:rPr>
        <w:t>226.88</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3.78%</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年旅游业占全市</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的</w:t>
      </w:r>
      <w:r>
        <w:rPr>
          <w:rFonts w:ascii="仿宋_GB2312" w:eastAsia="仿宋_GB2312" w:cs="仿宋_GB2312"/>
          <w:color w:val="000000"/>
          <w:kern w:val="0"/>
          <w:sz w:val="32"/>
          <w:szCs w:val="32"/>
        </w:rPr>
        <w:t>5.36%</w:t>
      </w:r>
      <w:r>
        <w:rPr>
          <w:rFonts w:hint="eastAsia" w:ascii="仿宋_GB2312" w:eastAsia="仿宋_GB2312" w:cs="仿宋_GB2312"/>
          <w:color w:val="000000"/>
          <w:kern w:val="0"/>
          <w:sz w:val="32"/>
          <w:szCs w:val="32"/>
        </w:rPr>
        <w:t>。在受新冠疫情影响的</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年，实现接待国内外游客</w:t>
      </w:r>
      <w:r>
        <w:rPr>
          <w:rFonts w:ascii="仿宋_GB2312" w:eastAsia="仿宋_GB2312" w:cs="仿宋_GB2312"/>
          <w:color w:val="000000"/>
          <w:kern w:val="0"/>
          <w:sz w:val="32"/>
          <w:szCs w:val="32"/>
        </w:rPr>
        <w:t>490.39</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29</w:t>
      </w:r>
      <w:r>
        <w:rPr>
          <w:rFonts w:hint="eastAsia" w:ascii="仿宋_GB2312" w:eastAsia="仿宋_GB2312" w:cs="仿宋_GB2312"/>
          <w:color w:val="000000"/>
          <w:kern w:val="0"/>
          <w:sz w:val="32"/>
          <w:szCs w:val="32"/>
        </w:rPr>
        <w:t>亿元，占全年</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比重为</w:t>
      </w:r>
      <w:r>
        <w:rPr>
          <w:rFonts w:ascii="仿宋_GB2312" w:eastAsia="仿宋_GB2312" w:cs="仿宋_GB2312"/>
          <w:color w:val="000000"/>
          <w:kern w:val="0"/>
          <w:sz w:val="32"/>
          <w:szCs w:val="32"/>
        </w:rPr>
        <w:t>2.62%</w:t>
      </w:r>
      <w:r>
        <w:rPr>
          <w:rFonts w:hint="eastAsia" w:ascii="仿宋_GB2312" w:eastAsia="仿宋_GB2312" w:cs="仿宋_GB2312"/>
          <w:color w:val="000000"/>
          <w:kern w:val="0"/>
          <w:sz w:val="32"/>
          <w:szCs w:val="32"/>
        </w:rPr>
        <w:t>。</w:t>
      </w:r>
    </w:p>
    <w:p w14:paraId="502F0E33">
      <w:pPr>
        <w:spacing w:line="560" w:lineRule="exact"/>
        <w:ind w:firstLine="420" w:firstLineChars="200"/>
        <w:rPr>
          <w:rFonts w:ascii="仿宋_GB2312" w:eastAsia="仿宋_GB2312" w:cs="仿宋_GB2312"/>
          <w:color w:val="000000"/>
          <w:kern w:val="0"/>
          <w:sz w:val="32"/>
          <w:szCs w:val="32"/>
        </w:rPr>
      </w:pPr>
      <w:r>
        <w:pict>
          <v:group id="组合 9" o:spid="_x0000_s1029" o:spt="203" style="position:absolute;left:0pt;margin-left:0pt;margin-top:27pt;height:270.3pt;width:405pt;mso-wrap-distance-bottom:0pt;mso-wrap-distance-left:9pt;mso-wrap-distance-right:9pt;mso-wrap-distance-top:0pt;z-index:251659264;mso-width-relative:page;mso-height-relative:page;" coordorigin="1980,1962" coordsize="8100,5406">
            <o:lock v:ext="edit"/>
            <v:shape id="图片 52" o:spid="_x0000_s1030" o:spt="75" type="#_x0000_t75" style="position:absolute;left:1980;top:1962;height:4834;width:8100;" filled="f" o:preferrelative="t" stroked="f" coordsize="21600,21600">
              <v:path/>
              <v:fill on="f" focussize="0,0"/>
              <v:stroke on="f" joinstyle="miter"/>
              <v:imagedata r:id="rId15" o:title=""/>
              <o:lock v:ext="edit" aspectratio="t"/>
            </v:shape>
            <v:shape id="文本框 8" o:spid="_x0000_s1031" o:spt="202" type="#_x0000_t202" style="position:absolute;left:2160;top:6744;height:624;width:7740;" filled="f" stroked="f" coordsize="21600,21600">
              <v:path/>
              <v:fill on="f" focussize="0,0"/>
              <v:stroke on="f" joinstyle="miter"/>
              <v:imagedata o:title=""/>
              <o:lock v:ext="edit"/>
              <v:textbox>
                <w:txbxContent>
                  <w:p w14:paraId="3FB249C5">
                    <w:pPr>
                      <w:jc w:val="center"/>
                      <w:rPr>
                        <w:rFonts w:ascii="仿宋_GB2312" w:eastAsia="仿宋_GB2312"/>
                        <w:sz w:val="24"/>
                      </w:rPr>
                    </w:pPr>
                    <w:r>
                      <w:rPr>
                        <w:rFonts w:hint="eastAsia" w:ascii="仿宋_GB2312" w:eastAsia="仿宋_GB2312"/>
                        <w:sz w:val="24"/>
                      </w:rPr>
                      <w:t>图</w:t>
                    </w:r>
                    <w:r>
                      <w:rPr>
                        <w:rFonts w:ascii="仿宋_GB2312" w:eastAsia="仿宋_GB2312"/>
                        <w:sz w:val="24"/>
                      </w:rPr>
                      <w:t>1-2 2015-2020</w:t>
                    </w:r>
                    <w:r>
                      <w:rPr>
                        <w:rFonts w:hint="eastAsia" w:ascii="仿宋_GB2312" w:eastAsia="仿宋_GB2312"/>
                        <w:sz w:val="24"/>
                      </w:rPr>
                      <w:t>鄂州市旅游接待人次及旅游总收入示意图</w:t>
                    </w:r>
                  </w:p>
                </w:txbxContent>
              </v:textbox>
            </v:shape>
            <w10:wrap type="square"/>
          </v:group>
        </w:pict>
      </w:r>
      <w:r>
        <w:rPr>
          <w:rFonts w:hint="eastAsia" w:ascii="仿宋_GB2312" w:eastAsia="仿宋_GB2312" w:cs="仿宋_GB2312"/>
          <w:color w:val="000000"/>
          <w:kern w:val="0"/>
          <w:sz w:val="32"/>
          <w:szCs w:val="32"/>
        </w:rPr>
        <w:t>“十三五”时期，全市文旅系统在顶层设计、公共服务、对外交流、文旅产业发展等方面均迈上了新台阶，为建设“武汉城市圈同城化核心区”打下了良好基础。</w:t>
      </w:r>
    </w:p>
    <w:p w14:paraId="63625C34">
      <w:pPr>
        <w:pStyle w:val="6"/>
        <w:spacing w:before="0" w:after="0" w:line="240" w:lineRule="auto"/>
        <w:ind w:firstLine="627" w:firstLineChars="196"/>
        <w:rPr>
          <w:rFonts w:ascii="仿宋_GB2312" w:eastAsia="仿宋_GB2312"/>
          <w:b w:val="0"/>
          <w:color w:val="000000"/>
        </w:rPr>
      </w:pPr>
      <w:bookmarkStart w:id="7" w:name="_Toc118988165"/>
      <w:bookmarkStart w:id="8" w:name="_Toc102401496"/>
      <w:r>
        <w:rPr>
          <w:rFonts w:ascii="仿宋_GB2312" w:eastAsia="仿宋_GB2312"/>
          <w:b w:val="0"/>
          <w:color w:val="000000"/>
        </w:rPr>
        <w:t>1.</w:t>
      </w:r>
      <w:r>
        <w:rPr>
          <w:rFonts w:hint="eastAsia" w:ascii="仿宋_GB2312" w:eastAsia="仿宋_GB2312"/>
          <w:b w:val="0"/>
          <w:color w:val="000000"/>
        </w:rPr>
        <w:t>顶层设计不断优化</w:t>
      </w:r>
      <w:bookmarkEnd w:id="7"/>
      <w:bookmarkEnd w:id="8"/>
    </w:p>
    <w:p w14:paraId="3267D1D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行政机构职能融合设计不断优化。“十三五”期间，在市委市政府的领导下，鄂州市文化和旅游局成功整合组建（加挂鄂州市广播电视局、鄂州市体育局），建立了上下贯通、职责明确、运转有序、统一高效的管理体制和运行机制。加快推进了机构融合、人员融合、业务融合、理念融合及力量融合。</w:t>
      </w:r>
    </w:p>
    <w:p w14:paraId="25DD418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公共文化服务体系设计不断优化。市委市政府办公室印发了《关于进一步加强现代公共服务体系建设的实施意见》。原市文体新广局会同市委宣传部、市财政局印发了《关于做好政府向社会力量购买公共文化服务工作的实施意见》。《意见》的出台为建立健全政府向社会购买公共文化服务机制，完善公共文化服务供给体系，提高公共文化服务效能提供了政策保障，并作出了重要部署和安排。</w:t>
      </w:r>
    </w:p>
    <w:p w14:paraId="24632AA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）文旅产业发展政策体系设计不断优化。</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出台《鄂州市人民政府关于加快文化和旅游产业高质量发展的实施意见》及两个配套文件《鄂州市扶持优势文化旅游产业发展专项资金管理办法》《鄂州市文化旅游产业高质量发展的奖励办法》，优化了鄂州市文化旅游产业发展的资金保障及激励机制。</w:t>
      </w:r>
    </w:p>
    <w:p w14:paraId="7F36F76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营商环境政策体系设计不断优化。编制形成《鄂州市市区两级文旅部门政务服务事项清单（与国家对接版）》，深化了“放管服”改革，加大了简政放权力度。按照“四减一优”要求，对所有审批服务事项逐项编制标准化工作规程和办事指南，并生成二维码，推行“一次告知、一表申请”，深化了“不见面审批”改革，优化了审批服务。</w:t>
      </w:r>
    </w:p>
    <w:p w14:paraId="1DC3AE0B">
      <w:pPr>
        <w:pStyle w:val="6"/>
        <w:spacing w:before="0" w:after="0" w:line="240" w:lineRule="auto"/>
        <w:ind w:firstLine="627" w:firstLineChars="196"/>
        <w:rPr>
          <w:rFonts w:ascii="仿宋_GB2312" w:eastAsia="仿宋_GB2312"/>
          <w:b w:val="0"/>
          <w:color w:val="000000"/>
        </w:rPr>
      </w:pPr>
      <w:bookmarkStart w:id="9" w:name="_Toc118988166"/>
      <w:bookmarkStart w:id="10" w:name="_Toc102401497"/>
      <w:r>
        <w:rPr>
          <w:rFonts w:ascii="仿宋_GB2312" w:eastAsia="仿宋_GB2312"/>
          <w:b w:val="0"/>
          <w:color w:val="000000"/>
        </w:rPr>
        <w:t>2.</w:t>
      </w:r>
      <w:r>
        <w:rPr>
          <w:rFonts w:hint="eastAsia" w:ascii="仿宋_GB2312" w:eastAsia="仿宋_GB2312"/>
          <w:b w:val="0"/>
          <w:color w:val="000000"/>
        </w:rPr>
        <w:t>公共服务全面提升</w:t>
      </w:r>
      <w:bookmarkEnd w:id="9"/>
      <w:bookmarkEnd w:id="10"/>
    </w:p>
    <w:p w14:paraId="711E392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）文化场馆建设取得重大突破。“十三五”期间，全市基本形成覆盖区、乡镇（街）、村（社区）三级行政区域的公共文化设施网络。全市</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个乡镇、街都建立了综合文化服务中心（综合文化站）。</w:t>
      </w:r>
      <w:r>
        <w:rPr>
          <w:rFonts w:hint="eastAsia" w:ascii="仿宋_GB2312" w:eastAsia="仿宋_GB2312" w:cs="仿宋_GB2312"/>
          <w:kern w:val="0"/>
          <w:sz w:val="32"/>
          <w:szCs w:val="32"/>
        </w:rPr>
        <w:t>投资</w:t>
      </w:r>
      <w:r>
        <w:rPr>
          <w:rFonts w:ascii="仿宋_GB2312" w:eastAsia="仿宋_GB2312" w:cs="仿宋_GB2312"/>
          <w:kern w:val="0"/>
          <w:sz w:val="32"/>
          <w:szCs w:val="32"/>
        </w:rPr>
        <w:t>3000</w:t>
      </w:r>
      <w:r>
        <w:rPr>
          <w:rFonts w:hint="eastAsia" w:ascii="仿宋_GB2312" w:eastAsia="仿宋_GB2312" w:cs="仿宋_GB2312"/>
          <w:kern w:val="0"/>
          <w:sz w:val="32"/>
          <w:szCs w:val="32"/>
        </w:rPr>
        <w:t>万元改扩建的群众艺术馆正式开放。</w:t>
      </w:r>
      <w:r>
        <w:rPr>
          <w:rFonts w:hint="eastAsia" w:ascii="仿宋_GB2312" w:eastAsia="仿宋_GB2312" w:cs="仿宋_GB2312"/>
          <w:color w:val="000000"/>
          <w:kern w:val="0"/>
          <w:sz w:val="32"/>
          <w:szCs w:val="32"/>
        </w:rPr>
        <w:t>投资</w:t>
      </w:r>
      <w:r>
        <w:rPr>
          <w:rFonts w:ascii="仿宋_GB2312" w:eastAsia="仿宋_GB2312" w:cs="仿宋_GB2312"/>
          <w:color w:val="000000"/>
          <w:kern w:val="0"/>
          <w:sz w:val="32"/>
          <w:szCs w:val="32"/>
        </w:rPr>
        <w:t>800</w:t>
      </w:r>
      <w:r>
        <w:rPr>
          <w:rFonts w:hint="eastAsia" w:ascii="仿宋_GB2312" w:eastAsia="仿宋_GB2312" w:cs="仿宋_GB2312"/>
          <w:color w:val="000000"/>
          <w:kern w:val="0"/>
          <w:sz w:val="32"/>
          <w:szCs w:val="32"/>
        </w:rPr>
        <w:t>万元的非遗馆改扩建工程全面推进，投资</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万元的市美术馆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年建成开放，立项规划投资</w:t>
      </w:r>
      <w:r>
        <w:rPr>
          <w:rFonts w:ascii="仿宋_GB2312" w:eastAsia="仿宋_GB2312" w:cs="仿宋_GB2312"/>
          <w:color w:val="000000"/>
          <w:kern w:val="0"/>
          <w:sz w:val="32"/>
          <w:szCs w:val="32"/>
        </w:rPr>
        <w:t>4400</w:t>
      </w:r>
      <w:r>
        <w:rPr>
          <w:rFonts w:hint="eastAsia" w:ascii="仿宋_GB2312" w:eastAsia="仿宋_GB2312" w:cs="仿宋_GB2312"/>
          <w:color w:val="000000"/>
          <w:kern w:val="0"/>
          <w:sz w:val="32"/>
          <w:szCs w:val="32"/>
        </w:rPr>
        <w:t>多万元的鄂州大剧院维修改造工程正在抓紧推进。区级层面，投资</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万元的鄂城区文化馆和图书馆改造工程完成，总建筑面积</w:t>
      </w:r>
      <w:r>
        <w:rPr>
          <w:rFonts w:ascii="仿宋_GB2312" w:eastAsia="仿宋_GB2312" w:cs="仿宋_GB2312"/>
          <w:color w:val="000000"/>
          <w:kern w:val="0"/>
          <w:sz w:val="32"/>
          <w:szCs w:val="32"/>
        </w:rPr>
        <w:t>3900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4542.82</w:t>
      </w:r>
      <w:r>
        <w:rPr>
          <w:rFonts w:hint="eastAsia" w:ascii="仿宋_GB2312" w:eastAsia="仿宋_GB2312" w:cs="仿宋_GB2312"/>
          <w:color w:val="000000"/>
          <w:kern w:val="0"/>
          <w:sz w:val="32"/>
          <w:szCs w:val="32"/>
        </w:rPr>
        <w:t>万元新建的华容区文化中心主体工程建设完工，总建筑面积</w:t>
      </w:r>
      <w:r>
        <w:rPr>
          <w:rFonts w:ascii="仿宋_GB2312" w:eastAsia="仿宋_GB2312" w:cs="仿宋_GB2312"/>
          <w:color w:val="000000"/>
          <w:kern w:val="0"/>
          <w:sz w:val="32"/>
          <w:szCs w:val="32"/>
        </w:rPr>
        <w:t>8000</w:t>
      </w:r>
      <w:r>
        <w:rPr>
          <w:rFonts w:hint="eastAsia" w:ascii="仿宋_GB2312" w:eastAsia="仿宋_GB2312" w:cs="仿宋_GB2312"/>
          <w:color w:val="000000"/>
          <w:kern w:val="0"/>
          <w:sz w:val="32"/>
          <w:szCs w:val="32"/>
        </w:rPr>
        <w:t>平方米，内设文化馆、非遗馆、博物馆、电影院等。</w:t>
      </w:r>
      <w:r>
        <w:rPr>
          <w:rFonts w:hint="eastAsia" w:ascii="仿宋_GB2312" w:eastAsia="仿宋_GB2312" w:cs="仿宋_GB2312"/>
          <w:kern w:val="0"/>
          <w:sz w:val="32"/>
          <w:szCs w:val="32"/>
        </w:rPr>
        <w:t>投资</w:t>
      </w:r>
      <w:r>
        <w:rPr>
          <w:rFonts w:ascii="仿宋_GB2312" w:eastAsia="仿宋_GB2312" w:cs="仿宋_GB2312"/>
          <w:kern w:val="0"/>
          <w:sz w:val="32"/>
          <w:szCs w:val="32"/>
        </w:rPr>
        <w:t>1800</w:t>
      </w:r>
      <w:r>
        <w:rPr>
          <w:rFonts w:hint="eastAsia" w:ascii="仿宋_GB2312" w:eastAsia="仿宋_GB2312" w:cs="仿宋_GB2312"/>
          <w:kern w:val="0"/>
          <w:sz w:val="32"/>
          <w:szCs w:val="32"/>
        </w:rPr>
        <w:t>万元新建的梁子湖区文化馆、图书馆</w:t>
      </w:r>
      <w:r>
        <w:rPr>
          <w:rFonts w:ascii="仿宋_GB2312" w:eastAsia="仿宋_GB2312" w:cs="仿宋_GB2312"/>
          <w:kern w:val="0"/>
          <w:sz w:val="32"/>
          <w:szCs w:val="32"/>
        </w:rPr>
        <w:t>2020</w:t>
      </w:r>
      <w:r>
        <w:rPr>
          <w:rFonts w:hint="eastAsia" w:ascii="仿宋_GB2312" w:eastAsia="仿宋_GB2312" w:cs="仿宋_GB2312"/>
          <w:kern w:val="0"/>
          <w:sz w:val="32"/>
          <w:szCs w:val="32"/>
        </w:rPr>
        <w:t>年</w:t>
      </w:r>
      <w:r>
        <w:rPr>
          <w:rFonts w:ascii="仿宋_GB2312" w:eastAsia="仿宋_GB2312" w:cs="仿宋_GB2312"/>
          <w:kern w:val="0"/>
          <w:sz w:val="32"/>
          <w:szCs w:val="32"/>
        </w:rPr>
        <w:t>12</w:t>
      </w:r>
      <w:r>
        <w:rPr>
          <w:rFonts w:hint="eastAsia" w:ascii="仿宋_GB2312" w:eastAsia="仿宋_GB2312" w:cs="仿宋_GB2312"/>
          <w:kern w:val="0"/>
          <w:sz w:val="32"/>
          <w:szCs w:val="32"/>
        </w:rPr>
        <w:t>月开工建设，</w:t>
      </w:r>
      <w:r>
        <w:rPr>
          <w:rFonts w:hint="eastAsia" w:ascii="仿宋_GB2312" w:eastAsia="仿宋_GB2312" w:cs="仿宋_GB2312"/>
          <w:color w:val="000000"/>
          <w:kern w:val="0"/>
          <w:sz w:val="32"/>
          <w:szCs w:val="32"/>
        </w:rPr>
        <w:t>总建设面积</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10000</w:t>
      </w:r>
      <w:r>
        <w:rPr>
          <w:rFonts w:hint="eastAsia" w:ascii="仿宋_GB2312" w:eastAsia="仿宋_GB2312" w:cs="仿宋_GB2312"/>
          <w:color w:val="000000"/>
          <w:kern w:val="0"/>
          <w:sz w:val="32"/>
          <w:szCs w:val="32"/>
        </w:rPr>
        <w:t>万元的葛店开发区图书馆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12</w:t>
      </w:r>
      <w:r>
        <w:rPr>
          <w:rFonts w:hint="eastAsia" w:ascii="仿宋_GB2312" w:eastAsia="仿宋_GB2312" w:cs="仿宋_GB2312"/>
          <w:color w:val="000000"/>
          <w:kern w:val="0"/>
          <w:sz w:val="32"/>
          <w:szCs w:val="32"/>
        </w:rPr>
        <w:t>月主体工程完工，总建筑面积</w:t>
      </w:r>
      <w:r>
        <w:rPr>
          <w:rFonts w:ascii="仿宋_GB2312" w:eastAsia="仿宋_GB2312" w:cs="仿宋_GB2312"/>
          <w:color w:val="000000"/>
          <w:kern w:val="0"/>
          <w:sz w:val="32"/>
          <w:szCs w:val="32"/>
        </w:rPr>
        <w:t>10363</w:t>
      </w:r>
      <w:r>
        <w:rPr>
          <w:rFonts w:hint="eastAsia" w:ascii="仿宋_GB2312" w:eastAsia="仿宋_GB2312" w:cs="仿宋_GB2312"/>
          <w:color w:val="000000"/>
          <w:kern w:val="0"/>
          <w:sz w:val="32"/>
          <w:szCs w:val="32"/>
        </w:rPr>
        <w:t>平方米。</w:t>
      </w:r>
    </w:p>
    <w:p w14:paraId="69DC0A9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）旅游公共服务设施逐渐完善。“十三五”期间，全市先后投入近</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亿元用于旅游系统、交通系统、城市系统、质量系统及商业系统开展各种涉旅设施建设。实施</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四好农村路</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提档升级工程近</w:t>
      </w:r>
      <w:r>
        <w:rPr>
          <w:rFonts w:ascii="仿宋_GB2312" w:eastAsia="仿宋_GB2312" w:cs="仿宋_GB2312"/>
          <w:color w:val="000000"/>
          <w:kern w:val="0"/>
          <w:sz w:val="32"/>
          <w:szCs w:val="32"/>
        </w:rPr>
        <w:t>50</w:t>
      </w:r>
      <w:r>
        <w:rPr>
          <w:rFonts w:hint="eastAsia" w:ascii="仿宋_GB2312" w:eastAsia="仿宋_GB2312" w:cs="仿宋_GB2312"/>
          <w:color w:val="000000"/>
          <w:kern w:val="0"/>
          <w:sz w:val="32"/>
          <w:szCs w:val="32"/>
        </w:rPr>
        <w:t>公里。完善标识牌</w:t>
      </w:r>
      <w:r>
        <w:rPr>
          <w:rFonts w:ascii="仿宋_GB2312" w:eastAsia="仿宋_GB2312" w:cs="仿宋_GB2312"/>
          <w:color w:val="000000"/>
          <w:kern w:val="0"/>
          <w:sz w:val="32"/>
          <w:szCs w:val="32"/>
        </w:rPr>
        <w:t>1200</w:t>
      </w:r>
      <w:r>
        <w:rPr>
          <w:rFonts w:hint="eastAsia" w:ascii="仿宋_GB2312" w:eastAsia="仿宋_GB2312" w:cs="仿宋_GB2312"/>
          <w:color w:val="000000"/>
          <w:kern w:val="0"/>
          <w:sz w:val="32"/>
          <w:szCs w:val="32"/>
        </w:rPr>
        <w:t>余块。新建和改扩建旅游厕所共计</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座。“十三五”期间，鄂州市旅游集散中心正式投入使用。</w:t>
      </w:r>
    </w:p>
    <w:p w14:paraId="12ECBAE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群众体育活动基础设施显著提升。全面完成市青少年校外活动中心、梧桐湖新区东湖高新健康运动中心、明塘体育场、吴都生态廊道全民健身中心和莲花山国民体质监测与健康指导中心的建设与改造。截止“十三五”期末，全市建有全民健身路径</w:t>
      </w:r>
      <w:r>
        <w:rPr>
          <w:rFonts w:ascii="仿宋_GB2312" w:eastAsia="仿宋_GB2312" w:cs="仿宋_GB2312"/>
          <w:color w:val="000000"/>
          <w:kern w:val="0"/>
          <w:sz w:val="32"/>
          <w:szCs w:val="32"/>
        </w:rPr>
        <w:t>987</w:t>
      </w:r>
      <w:r>
        <w:rPr>
          <w:rFonts w:hint="eastAsia" w:ascii="仿宋_GB2312" w:eastAsia="仿宋_GB2312" w:cs="仿宋_GB2312"/>
          <w:color w:val="000000"/>
          <w:kern w:val="0"/>
          <w:sz w:val="32"/>
          <w:szCs w:val="32"/>
        </w:rPr>
        <w:t>条，健身步道</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条，体育馆</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个，游泳馆</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个，网球羽毛球馆</w:t>
      </w:r>
      <w:r>
        <w:rPr>
          <w:rFonts w:ascii="仿宋_GB2312" w:eastAsia="仿宋_GB2312" w:cs="仿宋_GB2312"/>
          <w:color w:val="000000"/>
          <w:kern w:val="0"/>
          <w:sz w:val="32"/>
          <w:szCs w:val="32"/>
        </w:rPr>
        <w:t>23</w:t>
      </w:r>
      <w:r>
        <w:rPr>
          <w:rFonts w:hint="eastAsia" w:ascii="仿宋_GB2312" w:eastAsia="仿宋_GB2312" w:cs="仿宋_GB2312"/>
          <w:color w:val="000000"/>
          <w:kern w:val="0"/>
          <w:sz w:val="32"/>
          <w:szCs w:val="32"/>
        </w:rPr>
        <w:t>个，健身房</w:t>
      </w:r>
      <w:r>
        <w:rPr>
          <w:rFonts w:ascii="仿宋_GB2312" w:eastAsia="仿宋_GB2312" w:cs="仿宋_GB2312"/>
          <w:color w:val="000000"/>
          <w:kern w:val="0"/>
          <w:sz w:val="32"/>
          <w:szCs w:val="32"/>
        </w:rPr>
        <w:t>77</w:t>
      </w:r>
      <w:r>
        <w:rPr>
          <w:rFonts w:hint="eastAsia" w:ascii="仿宋_GB2312" w:eastAsia="仿宋_GB2312" w:cs="仿宋_GB2312"/>
          <w:color w:val="000000"/>
          <w:kern w:val="0"/>
          <w:sz w:val="32"/>
          <w:szCs w:val="32"/>
        </w:rPr>
        <w:t>个。全市体育场地共有</w:t>
      </w:r>
      <w:r>
        <w:rPr>
          <w:rFonts w:ascii="仿宋_GB2312" w:eastAsia="仿宋_GB2312" w:cs="仿宋_GB2312"/>
          <w:color w:val="000000"/>
          <w:kern w:val="0"/>
          <w:sz w:val="32"/>
          <w:szCs w:val="32"/>
        </w:rPr>
        <w:t>3184</w:t>
      </w:r>
      <w:r>
        <w:rPr>
          <w:rFonts w:hint="eastAsia" w:ascii="仿宋_GB2312" w:eastAsia="仿宋_GB2312" w:cs="仿宋_GB2312"/>
          <w:color w:val="000000"/>
          <w:kern w:val="0"/>
          <w:sz w:val="32"/>
          <w:szCs w:val="32"/>
        </w:rPr>
        <w:t>个，总面积</w:t>
      </w:r>
      <w:r>
        <w:rPr>
          <w:rFonts w:ascii="仿宋_GB2312" w:eastAsia="仿宋_GB2312" w:cs="仿宋_GB2312"/>
          <w:color w:val="000000"/>
          <w:kern w:val="0"/>
          <w:sz w:val="32"/>
          <w:szCs w:val="32"/>
        </w:rPr>
        <w:t>402.63</w:t>
      </w:r>
      <w:r>
        <w:rPr>
          <w:rFonts w:hint="eastAsia" w:ascii="仿宋_GB2312" w:eastAsia="仿宋_GB2312" w:cs="仿宋_GB2312"/>
          <w:color w:val="000000"/>
          <w:kern w:val="0"/>
          <w:sz w:val="32"/>
          <w:szCs w:val="32"/>
        </w:rPr>
        <w:t>万平方米，人均</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平方米。所有社区和行政村都建有体育健身场所，公共体育设施免费向社会开放率达到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w:t>
      </w:r>
    </w:p>
    <w:p w14:paraId="5DCB16D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）广电传输覆盖能力不断增强。广播电视网络传输网实现全市一体、全域贯通，综合人口覆盖率达到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。网内和数字多路微波平台数字电视节目传输分别达到</w:t>
      </w:r>
      <w:r>
        <w:rPr>
          <w:rFonts w:ascii="仿宋_GB2312" w:eastAsia="仿宋_GB2312" w:cs="仿宋_GB2312"/>
          <w:color w:val="000000"/>
          <w:kern w:val="0"/>
          <w:sz w:val="32"/>
          <w:szCs w:val="32"/>
        </w:rPr>
        <w:t>173</w:t>
      </w:r>
      <w:r>
        <w:rPr>
          <w:rFonts w:hint="eastAsia" w:ascii="仿宋_GB2312" w:eastAsia="仿宋_GB2312" w:cs="仿宋_GB2312"/>
          <w:color w:val="000000"/>
          <w:kern w:val="0"/>
          <w:sz w:val="32"/>
          <w:szCs w:val="32"/>
        </w:rPr>
        <w:t>套和</w:t>
      </w:r>
      <w:r>
        <w:rPr>
          <w:rFonts w:ascii="仿宋_GB2312" w:eastAsia="仿宋_GB2312" w:cs="仿宋_GB2312"/>
          <w:color w:val="000000"/>
          <w:kern w:val="0"/>
          <w:sz w:val="32"/>
          <w:szCs w:val="32"/>
        </w:rPr>
        <w:t>117</w:t>
      </w:r>
      <w:r>
        <w:rPr>
          <w:rFonts w:hint="eastAsia" w:ascii="仿宋_GB2312" w:eastAsia="仿宋_GB2312" w:cs="仿宋_GB2312"/>
          <w:color w:val="000000"/>
          <w:kern w:val="0"/>
          <w:sz w:val="32"/>
          <w:szCs w:val="32"/>
        </w:rPr>
        <w:t>套，可满足</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余万宽带用户的需要。农村广电网络公共服务体系日趋完善，建成通乡联村光缆干线</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余公里、光节点</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万多个，广电及宽带信号覆盖全市</w:t>
      </w:r>
      <w:r>
        <w:rPr>
          <w:rFonts w:ascii="仿宋_GB2312" w:eastAsia="仿宋_GB2312" w:cs="仿宋_GB2312"/>
          <w:color w:val="000000"/>
          <w:kern w:val="0"/>
          <w:sz w:val="32"/>
          <w:szCs w:val="32"/>
        </w:rPr>
        <w:t>303</w:t>
      </w:r>
      <w:r>
        <w:rPr>
          <w:rFonts w:hint="eastAsia" w:ascii="仿宋_GB2312" w:eastAsia="仿宋_GB2312" w:cs="仿宋_GB2312"/>
          <w:color w:val="000000"/>
          <w:kern w:val="0"/>
          <w:sz w:val="32"/>
          <w:szCs w:val="32"/>
        </w:rPr>
        <w:t>个行政村、</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余个自然湾、</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万左右农村用户。各行政村都建立了光信号传输野外机房，广大市民收听收看优质节目的安全性与稳定性大大提高。</w:t>
      </w:r>
    </w:p>
    <w:p w14:paraId="72E293DB">
      <w:pPr>
        <w:pStyle w:val="6"/>
        <w:spacing w:before="0" w:after="0" w:line="240" w:lineRule="auto"/>
        <w:ind w:firstLine="627" w:firstLineChars="196"/>
        <w:rPr>
          <w:rFonts w:ascii="仿宋_GB2312" w:eastAsia="仿宋_GB2312"/>
          <w:b w:val="0"/>
          <w:color w:val="000000"/>
        </w:rPr>
      </w:pPr>
      <w:bookmarkStart w:id="11" w:name="_Toc102401498"/>
      <w:bookmarkStart w:id="12" w:name="_Toc118988167"/>
      <w:r>
        <w:rPr>
          <w:rFonts w:ascii="仿宋_GB2312" w:eastAsia="仿宋_GB2312"/>
          <w:b w:val="0"/>
          <w:color w:val="000000"/>
        </w:rPr>
        <w:t>3.</w:t>
      </w:r>
      <w:r>
        <w:rPr>
          <w:rFonts w:hint="eastAsia" w:ascii="仿宋_GB2312" w:eastAsia="仿宋_GB2312"/>
          <w:b w:val="0"/>
          <w:color w:val="000000"/>
        </w:rPr>
        <w:t>节庆会展再谱新篇</w:t>
      </w:r>
      <w:bookmarkEnd w:id="11"/>
      <w:bookmarkEnd w:id="12"/>
    </w:p>
    <w:p w14:paraId="25B0F49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积极推介文化名片。“十三五”期间，鄂州雕花剪纸项目先后赴老挝、韩国、哈萨克斯坦、意大利、捷克、匈牙利等国交流。湖北省京剧二团青年演员熊小薇受省文化厅委派赴德国参加“感知中国·长江边的非遗故事</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湖北非物质文化遗产展演”。鄂州雕花剪纸作品《精准扶贫·决战小康》在第四届中国非物质文化遗产博览会上荣获中国传统工艺（剪纸）大赛铜剪子奖。</w:t>
      </w:r>
    </w:p>
    <w:p w14:paraId="6DB6FC1D">
      <w:pPr>
        <w:spacing w:line="560" w:lineRule="exact"/>
        <w:ind w:firstLine="640" w:firstLineChars="200"/>
        <w:rPr>
          <w:rFonts w:ascii="仿宋" w:hAnsi="仿宋" w:eastAsia="仿宋" w:cs="仿宋"/>
          <w:color w:val="00000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力举办和参与各类节庆。积极举办梁子蓝莓节、沼山胡柚节、太和谢埠豆腐节、泉天牡丹花节、长港农垦节、东沟荷花节、蒲团荷花节、松山百节龙文化节、泽林旱龙舟节等具有鲜明鄂州本土文化特色和大众参与性的旅游文化节庆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场，不断推广鄂州本土乡村文化品牌。组织参加全省首届荆楚乡村文化旅游节，鄂州梁子湖入选荆楚乡村旅游十大主题线路重要节点，梁子湖区万秀村入选荆楚乡村旅游十大美景</w:t>
      </w:r>
      <w:r>
        <w:rPr>
          <w:rFonts w:hint="eastAsia" w:ascii="仿宋" w:hAnsi="仿宋" w:eastAsia="仿宋" w:cs="仿宋"/>
          <w:color w:val="000000"/>
          <w:sz w:val="32"/>
          <w:szCs w:val="32"/>
        </w:rPr>
        <w:t>。</w:t>
      </w:r>
    </w:p>
    <w:p w14:paraId="6DB45BB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积极参与展会宣传。“十三五”期间，共参加国际旅游商品博览会、中国国际旅游交易会、华中旅游博览会暨第二届长江旅游博览会、第十五届中国（深圳）国际文化产业博览交易会等国内外大型系列展会及活动</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余场次。成功召开第四届中国古村镇大会暨梁子岛闭门会议，在为梁子湖区生态文明建设、全域生态旅游发展及乡村振兴把脉问诊、高远谋划的同时，进一步打响了梁子湖生态旅游品牌。</w:t>
      </w:r>
    </w:p>
    <w:p w14:paraId="7C89B767">
      <w:pPr>
        <w:pStyle w:val="6"/>
        <w:spacing w:before="0" w:after="0" w:line="240" w:lineRule="auto"/>
        <w:ind w:firstLine="627" w:firstLineChars="196"/>
        <w:rPr>
          <w:rFonts w:ascii="仿宋_GB2312" w:eastAsia="仿宋_GB2312"/>
          <w:b w:val="0"/>
          <w:color w:val="000000"/>
        </w:rPr>
      </w:pPr>
      <w:bookmarkStart w:id="13" w:name="_Toc102401499"/>
      <w:bookmarkStart w:id="14" w:name="_Toc118988168"/>
      <w:r>
        <w:rPr>
          <w:rFonts w:ascii="仿宋_GB2312" w:eastAsia="仿宋_GB2312"/>
          <w:b w:val="0"/>
          <w:color w:val="000000"/>
        </w:rPr>
        <w:t>4.</w:t>
      </w:r>
      <w:r>
        <w:rPr>
          <w:rFonts w:hint="eastAsia" w:ascii="仿宋_GB2312" w:eastAsia="仿宋_GB2312"/>
          <w:b w:val="0"/>
          <w:color w:val="000000"/>
        </w:rPr>
        <w:t>文化惠民蓬勃开展</w:t>
      </w:r>
      <w:bookmarkEnd w:id="13"/>
      <w:bookmarkEnd w:id="14"/>
    </w:p>
    <w:p w14:paraId="2B257C3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“十三五”时期，举办两届群众广场舞展演活动，参与队伍近</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支，参与人数近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万人次。组织开展“周周乐”广场文化活动近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场，开展戏曲“周周演”近百场、“送戏下乡”</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余场。组织荆楚“红色文艺轻骑兵”鄂州市群艺馆小分队送文化下乡每年惠及</w:t>
      </w:r>
      <w:r>
        <w:rPr>
          <w:rFonts w:hint="eastAsia" w:ascii="仿宋_GB2312" w:eastAsia="仿宋_GB2312" w:cs="仿宋_GB2312"/>
          <w:kern w:val="0"/>
          <w:sz w:val="32"/>
          <w:szCs w:val="32"/>
        </w:rPr>
        <w:t>上万群众</w:t>
      </w:r>
      <w:r>
        <w:rPr>
          <w:rFonts w:hint="eastAsia" w:ascii="仿宋_GB2312" w:eastAsia="仿宋_GB2312" w:cs="仿宋_GB2312"/>
          <w:color w:val="000000"/>
          <w:kern w:val="0"/>
          <w:sz w:val="32"/>
          <w:szCs w:val="32"/>
        </w:rPr>
        <w:t>。精心组织鄂州讲坛、国学讲座等近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场，其中鄂州讲坛获全省基层理论宣讲先进集体和湖北省图书馆学会创新案例奖。举办各类文艺培训班</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余期、戏曲进校园活动</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余场，其中“鄂州市戏曲进校园”荣获“首届六省市京剧进校园教学成果展演”优秀教学成果奖。组织开展大型文艺汇演和艺术沙龙活动</w:t>
      </w:r>
      <w:r>
        <w:rPr>
          <w:rFonts w:ascii="仿宋_GB2312" w:eastAsia="仿宋_GB2312" w:cs="仿宋_GB2312"/>
          <w:color w:val="000000"/>
          <w:kern w:val="0"/>
          <w:sz w:val="32"/>
          <w:szCs w:val="32"/>
        </w:rPr>
        <w:t>60</w:t>
      </w:r>
      <w:r>
        <w:rPr>
          <w:rFonts w:hint="eastAsia" w:ascii="仿宋_GB2312" w:eastAsia="仿宋_GB2312" w:cs="仿宋_GB2312"/>
          <w:color w:val="000000"/>
          <w:kern w:val="0"/>
          <w:sz w:val="32"/>
          <w:szCs w:val="32"/>
        </w:rPr>
        <w:t>余场，放映农村公益电影</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余场。推出免费看戏（演出）、免费健身、免费听讲座、免费阅读、免费参观展览等近</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项文化惠民项目，惠及全市城乡群众。</w:t>
      </w:r>
    </w:p>
    <w:p w14:paraId="2EE3D748">
      <w:pPr>
        <w:pStyle w:val="6"/>
        <w:spacing w:before="0" w:after="0" w:line="240" w:lineRule="auto"/>
        <w:ind w:firstLine="627" w:firstLineChars="196"/>
        <w:rPr>
          <w:rFonts w:ascii="微软雅黑" w:hAnsi="微软雅黑" w:eastAsia="微软雅黑" w:cs="微软雅黑"/>
          <w:bCs w:val="0"/>
          <w:color w:val="000000"/>
          <w:kern w:val="0"/>
        </w:rPr>
      </w:pPr>
      <w:bookmarkStart w:id="15" w:name="_Toc118988169"/>
      <w:r>
        <w:rPr>
          <w:rFonts w:ascii="仿宋_GB2312" w:eastAsia="仿宋_GB2312"/>
          <w:b w:val="0"/>
          <w:color w:val="000000"/>
        </w:rPr>
        <w:t>5.</w:t>
      </w:r>
      <w:r>
        <w:rPr>
          <w:rFonts w:hint="eastAsia" w:ascii="仿宋_GB2312" w:eastAsia="仿宋_GB2312"/>
          <w:b w:val="0"/>
          <w:color w:val="000000"/>
        </w:rPr>
        <w:t>文艺精品推陈出新</w:t>
      </w:r>
      <w:bookmarkEnd w:id="15"/>
    </w:p>
    <w:p w14:paraId="75D69A7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“十三五”时期，全市在省级及以上刊物发表文艺作品</w:t>
      </w:r>
      <w:r>
        <w:rPr>
          <w:rFonts w:ascii="仿宋_GB2312" w:eastAsia="仿宋_GB2312" w:cs="仿宋_GB2312"/>
          <w:color w:val="000000"/>
          <w:kern w:val="0"/>
          <w:sz w:val="32"/>
          <w:szCs w:val="32"/>
        </w:rPr>
        <w:t>14</w:t>
      </w:r>
      <w:r>
        <w:rPr>
          <w:rFonts w:hint="eastAsia" w:ascii="仿宋_GB2312" w:eastAsia="仿宋_GB2312" w:cs="仿宋_GB2312"/>
          <w:color w:val="000000"/>
          <w:kern w:val="0"/>
          <w:sz w:val="32"/>
          <w:szCs w:val="32"/>
        </w:rPr>
        <w:t>部，恢复排演优秀京剧传统剧目</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部。少儿神话京剧《梁子湖传说》作为“</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年湖北省优秀剧目北京行”入选剧目，赴北京梅兰芳大剧院展演两场。舞蹈、乐器等艺术类作品荣获省级及以上奖项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余项，其中第一名和一等奖作品共</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现代少儿京剧《童声》入围第三届湖北艺术节。京剧《剑与镜》入围第三届“曹禺杯”优秀剧本征集评选作品，并在第三届全国剧本创作交易会成功签约。鄂州玉连环作品《签约》入围第三届湖北艺术节暨庆祝改革开放</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周年优秀群众文艺作品展演。曲艺《生命倒计时》入选由中共湖北省委宣传部编纂的湖北大众文艺丛书《技压群芳》曲艺卷。</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年编排的广场舞《凤凰飞旋》荣获第四届“文化力量·民间精彩”全省广场舞展演一等奖。《英雄城市》《</w:t>
      </w:r>
      <w:r>
        <w:rPr>
          <w:rFonts w:ascii="仿宋_GB2312" w:eastAsia="仿宋_GB2312" w:cs="仿宋_GB2312"/>
          <w:color w:val="000000"/>
          <w:kern w:val="0"/>
          <w:sz w:val="32"/>
          <w:szCs w:val="32"/>
        </w:rPr>
        <w:t>1927</w:t>
      </w:r>
      <w:r>
        <w:rPr>
          <w:rFonts w:hint="eastAsia" w:ascii="仿宋_GB2312" w:eastAsia="仿宋_GB2312" w:cs="仿宋_GB2312"/>
          <w:color w:val="000000"/>
          <w:kern w:val="0"/>
          <w:sz w:val="32"/>
          <w:szCs w:val="32"/>
        </w:rPr>
        <w:t>从鄂城出发去南昌》《魂牵梦绕》《旗帜在心中飘扬》</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件作品入选全省音乐创作“</w:t>
      </w:r>
      <w:r>
        <w:rPr>
          <w:rFonts w:ascii="仿宋_GB2312" w:eastAsia="仿宋_GB2312" w:cs="仿宋_GB2312"/>
          <w:color w:val="000000"/>
          <w:kern w:val="0"/>
          <w:sz w:val="32"/>
          <w:szCs w:val="32"/>
        </w:rPr>
        <w:t>131</w:t>
      </w:r>
      <w:r>
        <w:rPr>
          <w:rFonts w:hint="eastAsia" w:ascii="仿宋_GB2312" w:eastAsia="仿宋_GB2312" w:cs="仿宋_GB2312"/>
          <w:color w:val="000000"/>
          <w:kern w:val="0"/>
          <w:sz w:val="32"/>
          <w:szCs w:val="32"/>
        </w:rPr>
        <w:t>”工程。</w:t>
      </w:r>
    </w:p>
    <w:p w14:paraId="1FAA1E19">
      <w:pPr>
        <w:pStyle w:val="6"/>
        <w:spacing w:before="0" w:after="0" w:line="240" w:lineRule="auto"/>
        <w:ind w:firstLine="627" w:firstLineChars="196"/>
        <w:rPr>
          <w:rFonts w:ascii="仿宋_GB2312" w:eastAsia="仿宋_GB2312"/>
          <w:b w:val="0"/>
          <w:color w:val="000000"/>
        </w:rPr>
      </w:pPr>
      <w:bookmarkStart w:id="16" w:name="_Toc118988170"/>
      <w:r>
        <w:rPr>
          <w:rFonts w:ascii="仿宋_GB2312" w:eastAsia="仿宋_GB2312"/>
          <w:b w:val="0"/>
          <w:color w:val="000000"/>
        </w:rPr>
        <w:t>6.</w:t>
      </w:r>
      <w:r>
        <w:rPr>
          <w:rFonts w:hint="eastAsia" w:ascii="仿宋_GB2312" w:eastAsia="仿宋_GB2312"/>
          <w:b w:val="0"/>
          <w:color w:val="000000"/>
        </w:rPr>
        <w:t>文博事业成效显著</w:t>
      </w:r>
      <w:bookmarkEnd w:id="16"/>
    </w:p>
    <w:p w14:paraId="739BDB1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《吴王城遗址保护规划》通过市级初审。完成了一批文保单位维修工程、考古勘探、物理探测工作及工地、遗址、古墓的考古发掘工作，新增考古发掘文物</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余件。新增省级文保单位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处。全市市级以上文物保护单位“一处一策”工作机制全面建立。</w:t>
      </w:r>
    </w:p>
    <w:p w14:paraId="05157AD3">
      <w:pPr>
        <w:pStyle w:val="6"/>
        <w:spacing w:before="0" w:after="0" w:line="240" w:lineRule="auto"/>
        <w:ind w:firstLine="627" w:firstLineChars="196"/>
        <w:rPr>
          <w:rFonts w:ascii="仿宋_GB2312" w:eastAsia="仿宋_GB2312"/>
          <w:b w:val="0"/>
          <w:color w:val="000000"/>
        </w:rPr>
      </w:pPr>
      <w:bookmarkStart w:id="17" w:name="_Toc118988171"/>
      <w:r>
        <w:rPr>
          <w:rFonts w:ascii="仿宋_GB2312" w:eastAsia="仿宋_GB2312"/>
          <w:b w:val="0"/>
          <w:color w:val="000000"/>
        </w:rPr>
        <w:t>7.</w:t>
      </w:r>
      <w:r>
        <w:rPr>
          <w:rFonts w:hint="eastAsia" w:ascii="仿宋_GB2312" w:eastAsia="仿宋_GB2312"/>
          <w:b w:val="0"/>
          <w:color w:val="000000"/>
        </w:rPr>
        <w:t>非遗保护成效明显</w:t>
      </w:r>
      <w:bookmarkEnd w:id="17"/>
    </w:p>
    <w:p w14:paraId="0D5492F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搭建非遗保护传承和展示交流平台，通过传习活动促进非遗保护工作的良性循环和可持续发展。利用非遗教学场地和传承人优势，组织开展非遗宣传展示、传承传习进学校、进社区、进乡村活动，定期聘请传承人现场教学、传播传统文化、传授手工技艺。“十三五”期间，举办雕花剪纸、牌子锣、土布、玉连环、书法等各类非遗培训班</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余期，培训学员</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余人次。我市雕花剪纸公益培训与传播项目通过第四批国家公共文化服务体系示范项目验收，为国家制定相关政策提供科学依据和生动实践，为全国同类地区现代公共文化服务体系建设提供借鉴和示范。</w:t>
      </w:r>
    </w:p>
    <w:p w14:paraId="72F425A1">
      <w:pPr>
        <w:pStyle w:val="6"/>
        <w:spacing w:before="0" w:after="0" w:line="240" w:lineRule="auto"/>
        <w:ind w:firstLine="627" w:firstLineChars="196"/>
        <w:rPr>
          <w:rFonts w:ascii="仿宋_GB2312" w:eastAsia="仿宋_GB2312"/>
          <w:b w:val="0"/>
          <w:color w:val="000000"/>
        </w:rPr>
      </w:pPr>
      <w:bookmarkStart w:id="18" w:name="_Toc102401501"/>
      <w:bookmarkStart w:id="19" w:name="_Toc118988172"/>
      <w:r>
        <w:rPr>
          <w:rFonts w:ascii="仿宋_GB2312" w:eastAsia="仿宋_GB2312"/>
          <w:b w:val="0"/>
          <w:color w:val="000000"/>
        </w:rPr>
        <w:t>8.</w:t>
      </w:r>
      <w:r>
        <w:rPr>
          <w:rFonts w:hint="eastAsia" w:ascii="仿宋_GB2312" w:eastAsia="仿宋_GB2312"/>
          <w:b w:val="0"/>
          <w:color w:val="000000"/>
        </w:rPr>
        <w:t>体育工作</w:t>
      </w:r>
      <w:bookmarkEnd w:id="18"/>
      <w:r>
        <w:rPr>
          <w:rFonts w:hint="eastAsia" w:ascii="仿宋_GB2312" w:eastAsia="仿宋_GB2312"/>
          <w:b w:val="0"/>
          <w:color w:val="000000"/>
        </w:rPr>
        <w:t>稳步发展</w:t>
      </w:r>
      <w:bookmarkEnd w:id="19"/>
    </w:p>
    <w:p w14:paraId="2113933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）全民健身组织体系不断完善。“十三五”期间，群众体育社会团体和基层组织快速发展，在推动全民健身工作中发挥了重要作用。截止</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年底，全市共有各类体育单项协会</w:t>
      </w:r>
      <w:r>
        <w:rPr>
          <w:rFonts w:ascii="仿宋_GB2312" w:eastAsia="仿宋_GB2312" w:cs="仿宋_GB2312"/>
          <w:color w:val="000000"/>
          <w:kern w:val="0"/>
          <w:sz w:val="32"/>
          <w:szCs w:val="32"/>
        </w:rPr>
        <w:t>41</w:t>
      </w:r>
      <w:r>
        <w:rPr>
          <w:rFonts w:hint="eastAsia" w:ascii="仿宋_GB2312" w:eastAsia="仿宋_GB2312" w:cs="仿宋_GB2312"/>
          <w:color w:val="000000"/>
          <w:kern w:val="0"/>
          <w:sz w:val="32"/>
          <w:szCs w:val="32"/>
        </w:rPr>
        <w:t>个、体育俱乐部</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个、全民健身活动站点</w:t>
      </w:r>
      <w:r>
        <w:rPr>
          <w:rFonts w:ascii="仿宋_GB2312" w:eastAsia="仿宋_GB2312" w:cs="仿宋_GB2312"/>
          <w:color w:val="000000"/>
          <w:kern w:val="0"/>
          <w:sz w:val="32"/>
          <w:szCs w:val="32"/>
        </w:rPr>
        <w:t>385</w:t>
      </w:r>
      <w:r>
        <w:rPr>
          <w:rFonts w:hint="eastAsia" w:ascii="仿宋_GB2312" w:eastAsia="仿宋_GB2312" w:cs="仿宋_GB2312"/>
          <w:color w:val="000000"/>
          <w:kern w:val="0"/>
          <w:sz w:val="32"/>
          <w:szCs w:val="32"/>
        </w:rPr>
        <w:t>个。全市共有各级社会体育指导员</w:t>
      </w:r>
      <w:r>
        <w:rPr>
          <w:rFonts w:ascii="仿宋_GB2312" w:eastAsia="仿宋_GB2312" w:cs="仿宋_GB2312"/>
          <w:color w:val="000000"/>
          <w:kern w:val="0"/>
          <w:sz w:val="32"/>
          <w:szCs w:val="32"/>
        </w:rPr>
        <w:t>3567</w:t>
      </w:r>
      <w:r>
        <w:rPr>
          <w:rFonts w:hint="eastAsia" w:ascii="仿宋_GB2312" w:eastAsia="仿宋_GB2312" w:cs="仿宋_GB2312"/>
          <w:color w:val="000000"/>
          <w:kern w:val="0"/>
          <w:sz w:val="32"/>
          <w:szCs w:val="32"/>
        </w:rPr>
        <w:t>人，占全市总人口的</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‰，位居全省前列。经常参加体育锻炼人数比达到</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年，鄂州市被授予湖北省基本公共体育服务体系示范区（市）。</w:t>
      </w:r>
    </w:p>
    <w:p w14:paraId="2B4FD27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）群众体育蓬勃开展。深入开展“崇尚人人体育</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共创美好生活”“时尚假日”“全民健身运动会”“网民公益体育大会”等活动。先后主办、承办、协办各级群众体育赛事</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多场次，成功举办“鄂州国际半程马拉松赛”“中国钓鱼大师明星赛”等品牌赛事及群众体育“百千万”等赛事活动，做到“月月有竞赛，季季有大赛”。</w:t>
      </w:r>
    </w:p>
    <w:p w14:paraId="13D4EB4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青少年体育稳步发展。积极开展青少年阳光体育和青少年足球“四进校园”活动，举办青少年“未来之星”阳光体育大会，组织开展市校园足球联赛、体育项目夏令营、青少年男子“三对三”篮球和传统体育项目学校体育赛事活动。圆满承办了省青少年足球、拳击、举重、跆拳道锦标赛，并不断举办中小学生篮球、足球、游泳等项目的赛事活动，推动了全市竞技体育后备人才的培养选拔。</w:t>
      </w:r>
    </w:p>
    <w:p w14:paraId="495A7E6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）竞技体育态势良好。“十三五”期间，鄂州市竞技体育势头发展良好，共荣获全国和省级赛事奖牌</w:t>
      </w:r>
      <w:r>
        <w:rPr>
          <w:rFonts w:ascii="仿宋_GB2312" w:eastAsia="仿宋_GB2312" w:cs="仿宋_GB2312"/>
          <w:color w:val="000000"/>
          <w:kern w:val="0"/>
          <w:sz w:val="32"/>
          <w:szCs w:val="32"/>
        </w:rPr>
        <w:t>182</w:t>
      </w:r>
      <w:r>
        <w:rPr>
          <w:rFonts w:hint="eastAsia" w:ascii="仿宋_GB2312" w:eastAsia="仿宋_GB2312" w:cs="仿宋_GB2312"/>
          <w:color w:val="000000"/>
          <w:kern w:val="0"/>
          <w:sz w:val="32"/>
          <w:szCs w:val="32"/>
        </w:rPr>
        <w:t>枚，其中金牌</w:t>
      </w:r>
      <w:r>
        <w:rPr>
          <w:rFonts w:ascii="仿宋_GB2312" w:eastAsia="仿宋_GB2312" w:cs="仿宋_GB2312"/>
          <w:color w:val="000000"/>
          <w:kern w:val="0"/>
          <w:sz w:val="32"/>
          <w:szCs w:val="32"/>
        </w:rPr>
        <w:t>57</w:t>
      </w:r>
      <w:r>
        <w:rPr>
          <w:rFonts w:hint="eastAsia" w:ascii="仿宋_GB2312" w:eastAsia="仿宋_GB2312" w:cs="仿宋_GB2312"/>
          <w:color w:val="000000"/>
          <w:kern w:val="0"/>
          <w:sz w:val="32"/>
          <w:szCs w:val="32"/>
        </w:rPr>
        <w:t>枚。各类运动员、教练员、体育管理者等竞技体育人才的选拔、培养、交流制度不断完善。</w:t>
      </w:r>
    </w:p>
    <w:p w14:paraId="2D5AAA2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）体彩销售稳步提升。“十三五”期间，全市体彩销售总收入</w:t>
      </w:r>
      <w:r>
        <w:rPr>
          <w:rFonts w:ascii="仿宋_GB2312" w:eastAsia="仿宋_GB2312" w:cs="仿宋_GB2312"/>
          <w:color w:val="000000"/>
          <w:kern w:val="0"/>
          <w:sz w:val="32"/>
          <w:szCs w:val="32"/>
        </w:rPr>
        <w:t>12.21</w:t>
      </w:r>
      <w:r>
        <w:rPr>
          <w:rFonts w:hint="eastAsia" w:ascii="仿宋_GB2312" w:eastAsia="仿宋_GB2312" w:cs="仿宋_GB2312"/>
          <w:color w:val="000000"/>
          <w:kern w:val="0"/>
          <w:sz w:val="32"/>
          <w:szCs w:val="32"/>
        </w:rPr>
        <w:t>亿元，年均增幅</w:t>
      </w:r>
      <w:r>
        <w:rPr>
          <w:rFonts w:ascii="仿宋_GB2312" w:eastAsia="仿宋_GB2312" w:cs="仿宋_GB2312"/>
          <w:color w:val="000000"/>
          <w:kern w:val="0"/>
          <w:sz w:val="32"/>
          <w:szCs w:val="32"/>
        </w:rPr>
        <w:t>121.7%</w:t>
      </w:r>
      <w:r>
        <w:rPr>
          <w:rFonts w:hint="eastAsia" w:ascii="仿宋_GB2312" w:eastAsia="仿宋_GB2312" w:cs="仿宋_GB2312"/>
          <w:color w:val="000000"/>
          <w:kern w:val="0"/>
          <w:sz w:val="32"/>
          <w:szCs w:val="32"/>
        </w:rPr>
        <w:t>，为全市体育基础设施建设、体育活动、高水平体育后备人才培养及赛事备战提供了大量的资金支持。</w:t>
      </w:r>
    </w:p>
    <w:p w14:paraId="7E8894AF">
      <w:pPr>
        <w:pStyle w:val="6"/>
        <w:spacing w:before="0" w:after="0" w:line="240" w:lineRule="auto"/>
        <w:ind w:firstLine="627" w:firstLineChars="196"/>
        <w:rPr>
          <w:rFonts w:ascii="仿宋_GB2312" w:eastAsia="仿宋_GB2312"/>
          <w:b w:val="0"/>
          <w:color w:val="000000"/>
        </w:rPr>
      </w:pPr>
      <w:bookmarkStart w:id="20" w:name="_Toc102401502"/>
      <w:bookmarkStart w:id="21" w:name="_Toc118988173"/>
      <w:r>
        <w:rPr>
          <w:rFonts w:ascii="仿宋_GB2312" w:eastAsia="仿宋_GB2312"/>
          <w:b w:val="0"/>
          <w:color w:val="000000"/>
        </w:rPr>
        <w:t>9.</w:t>
      </w:r>
      <w:r>
        <w:rPr>
          <w:rFonts w:hint="eastAsia" w:ascii="仿宋_GB2312" w:eastAsia="仿宋_GB2312"/>
          <w:b w:val="0"/>
          <w:color w:val="000000"/>
        </w:rPr>
        <w:t>广播电视守正出新</w:t>
      </w:r>
      <w:bookmarkEnd w:id="20"/>
      <w:bookmarkEnd w:id="21"/>
    </w:p>
    <w:p w14:paraId="7529ECE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）舆论引导力显著增强。“十三五</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时期，聚焦“十九大精神的宣传”“阐释习近平新时代中国特色社会主义思想”“城乡融合高质量发展”“抗疫防疫”“打好三大攻坚战”“文明城市创建”等重大主题，系统推出专题、系列、典型以及深度报道，先后策划推出了</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多组、</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多条主题性报道。新闻报道的厚度、深度及舆论引导力不断增强，为鄂州经济社会发展提振信心营造了良好的舆论氛围，其中报道上中央级媒体</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多篇，上省级媒体</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多篇，对外报道工作得到了省市领导的肯定。</w:t>
      </w:r>
    </w:p>
    <w:p w14:paraId="679B390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设施建设步伐加快。先后对广播电视演播室、播出机房和前期采访设备进行了更新改造，改善了广播电视办公环境。完成了微波干线鄂州站数改项目建设，完成了鄂州地域数字电视覆盖工程及数字监控平台项目建设。购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台高清电视转播车，填补了全市现场直播和高清录制的空白，极大提升了全市重要新闻报道、体育赛事、大型文艺节目的高清转播制作水平。“十三五”期间，鄂州市融媒体中心正式揭牌，成为全省首家地市级融媒体中心。</w:t>
      </w:r>
    </w:p>
    <w:p w14:paraId="74D5F1F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）栏目建设成绩显著。不断强化品牌栏目建设，有计划地推出栏目改版创新方案，共改版《鄂州新闻》《直播鄂州》《民生快报》等</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多个栏目，全新推出《追梦鄂州人》《现场直击》等多档脍炙人口的广播电视节目。不断加大基层报道力度</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拓展报道题材，增加信息量，增强服务性，推出了《美丽乡村》《读书吧》《</w:t>
      </w:r>
      <w:r>
        <w:rPr>
          <w:rFonts w:ascii="仿宋_GB2312" w:eastAsia="仿宋_GB2312" w:cs="仿宋_GB2312"/>
          <w:color w:val="000000"/>
          <w:kern w:val="0"/>
          <w:sz w:val="32"/>
          <w:szCs w:val="32"/>
        </w:rPr>
        <w:t>V</w:t>
      </w:r>
      <w:r>
        <w:rPr>
          <w:rFonts w:hint="eastAsia" w:ascii="仿宋_GB2312" w:eastAsia="仿宋_GB2312" w:cs="仿宋_GB2312"/>
          <w:color w:val="000000"/>
          <w:kern w:val="0"/>
          <w:sz w:val="32"/>
          <w:szCs w:val="32"/>
        </w:rPr>
        <w:t>视界》等全新栏目，提高了鄂州的知名度、美誉度。</w:t>
      </w:r>
    </w:p>
    <w:p w14:paraId="7D65724A">
      <w:pPr>
        <w:pStyle w:val="6"/>
        <w:spacing w:before="0" w:after="0" w:line="240" w:lineRule="auto"/>
        <w:ind w:firstLine="627" w:firstLineChars="196"/>
        <w:rPr>
          <w:rFonts w:ascii="仿宋_GB2312" w:eastAsia="仿宋_GB2312"/>
          <w:b w:val="0"/>
          <w:color w:val="000000"/>
        </w:rPr>
      </w:pPr>
      <w:bookmarkStart w:id="22" w:name="_Toc118988174"/>
      <w:bookmarkStart w:id="23" w:name="_Toc102401503"/>
      <w:bookmarkStart w:id="24" w:name="_Toc96722244"/>
      <w:r>
        <w:rPr>
          <w:rFonts w:ascii="仿宋_GB2312" w:eastAsia="仿宋_GB2312"/>
          <w:b w:val="0"/>
          <w:color w:val="000000"/>
        </w:rPr>
        <w:t>10.</w:t>
      </w:r>
      <w:r>
        <w:rPr>
          <w:rFonts w:hint="eastAsia" w:ascii="仿宋_GB2312" w:eastAsia="仿宋_GB2312"/>
          <w:b w:val="0"/>
          <w:color w:val="000000"/>
        </w:rPr>
        <w:t>全域旅游成效显著</w:t>
      </w:r>
      <w:bookmarkEnd w:id="22"/>
      <w:bookmarkEnd w:id="23"/>
    </w:p>
    <w:p w14:paraId="7E640B5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科学编制旅游规划。全力配合市政府对鄂州旅游产业规划进行了纲要性全域编制，形成了《鄂州市旅游业发展第十三个五年规划纲要》。编制完成了《梁子湖区旅游产业发展规划》《鄂州市长港垦区、鄂州市鄂城区长港镇旅游发展总体规划》《鄂州市红色旅游发展总体规划（</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年）》《鄂州市“旅游厕所革命”专项规划（</w:t>
      </w:r>
      <w:r>
        <w:rPr>
          <w:rFonts w:ascii="仿宋_GB2312" w:eastAsia="仿宋_GB2312" w:cs="仿宋_GB2312"/>
          <w:color w:val="000000"/>
          <w:kern w:val="0"/>
          <w:sz w:val="32"/>
          <w:szCs w:val="32"/>
        </w:rPr>
        <w:t>2018—2020</w:t>
      </w:r>
      <w:r>
        <w:rPr>
          <w:rFonts w:hint="eastAsia" w:ascii="仿宋_GB2312" w:eastAsia="仿宋_GB2312" w:cs="仿宋_GB2312"/>
          <w:color w:val="000000"/>
          <w:kern w:val="0"/>
          <w:sz w:val="32"/>
          <w:szCs w:val="32"/>
        </w:rPr>
        <w:t>）》等系列专项规划，有力地指导了鄂州市旅游业的发展。</w:t>
      </w:r>
    </w:p>
    <w:p w14:paraId="7D9AA12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）旅游标准创建取得突破进展。“十三五”期间，鄂州荣获“全国旅游标准化示范城市”称号。编制的《湖北省旅游名镇评定规范》《湖北省旅游名村评定规范》《湖北省示范休闲农庄评定条件》</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个省级地方标准获省标委发布，开启了“鄂州出标准，全省搞联创”的湖北省地方旅游标准之“鄂州时代”。</w:t>
      </w:r>
    </w:p>
    <w:p w14:paraId="19DA2FB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）旅游示范创建成效明显。深入开展“五极联创”，成功创建全国特色景观旅游名镇</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家（梁子湖区梁子镇）、全国乡村重点旅游村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家（万秀村、武圣村）、省级全域旅游示范区创建单位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家（梁子湖区梁子镇）、省级休闲农业示范点</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家（千秀谷生态农业休闲观光园、四峰山乡村风情体验园、华容杏福生态园），湖北乡村旅游后备箱示范点</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家（梁子湖绿色食品开发有限公司），</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个乡镇、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村分别获评湖北旅游名镇、名村。至“十三五”期末，全市共有国家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家（莲花山风景区），</w:t>
      </w:r>
      <w:r>
        <w:rPr>
          <w:rFonts w:ascii="仿宋_GB2312" w:eastAsia="仿宋_GB2312" w:cs="仿宋_GB2312"/>
          <w:color w:val="000000"/>
          <w:kern w:val="0"/>
          <w:sz w:val="32"/>
          <w:szCs w:val="32"/>
        </w:rPr>
        <w:t>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家（西山风景区、佛罗伦萨小镇、鄂州博物馆、官田生态旅游区）。</w:t>
      </w:r>
    </w:p>
    <w:p w14:paraId="07BDA52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）重大旅游项目提速推进。“十三五”期间，落地鄂州拟建与在建的重大旅游招商项目近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个，其中千亿元以上的项目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个，百亿元以上的项目</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亿元以上的项目</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个，亿元以上的项目</w:t>
      </w:r>
      <w:r>
        <w:rPr>
          <w:rFonts w:ascii="仿宋_GB2312" w:eastAsia="仿宋_GB2312" w:cs="仿宋_GB2312"/>
          <w:color w:val="000000"/>
          <w:kern w:val="0"/>
          <w:sz w:val="32"/>
          <w:szCs w:val="32"/>
        </w:rPr>
        <w:t>8</w:t>
      </w:r>
      <w:r>
        <w:rPr>
          <w:rFonts w:hint="eastAsia" w:ascii="仿宋_GB2312" w:eastAsia="仿宋_GB2312" w:cs="仿宋_GB2312"/>
          <w:color w:val="000000"/>
          <w:kern w:val="0"/>
          <w:sz w:val="32"/>
          <w:szCs w:val="32"/>
        </w:rPr>
        <w:t>个。旅游业吸引投资的综合优势日益显现，全市旅游产业逐步呈现出大型项目多、投资领域广、项目结构优、投资主体全的显著特征。</w:t>
      </w:r>
    </w:p>
    <w:p w14:paraId="124F82F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）旅游接待体系逐步完善。截止“十三五”期末，全市拥有星级宾馆</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家，星级酒店住宿床位</w:t>
      </w:r>
      <w:r>
        <w:rPr>
          <w:rFonts w:ascii="仿宋_GB2312" w:eastAsia="仿宋_GB2312" w:cs="仿宋_GB2312"/>
          <w:color w:val="000000"/>
          <w:kern w:val="0"/>
          <w:sz w:val="32"/>
          <w:szCs w:val="32"/>
        </w:rPr>
        <w:t>498</w:t>
      </w:r>
      <w:r>
        <w:rPr>
          <w:rFonts w:hint="eastAsia" w:ascii="仿宋_GB2312" w:eastAsia="仿宋_GB2312" w:cs="仿宋_GB2312"/>
          <w:color w:val="000000"/>
          <w:kern w:val="0"/>
          <w:sz w:val="32"/>
          <w:szCs w:val="32"/>
        </w:rPr>
        <w:t>个，旅行社及门市</w:t>
      </w:r>
      <w:r>
        <w:rPr>
          <w:rFonts w:ascii="仿宋_GB2312" w:eastAsia="仿宋_GB2312" w:cs="仿宋_GB2312"/>
          <w:color w:val="000000"/>
          <w:kern w:val="0"/>
          <w:sz w:val="32"/>
          <w:szCs w:val="32"/>
        </w:rPr>
        <w:t>65</w:t>
      </w:r>
      <w:r>
        <w:rPr>
          <w:rFonts w:hint="eastAsia" w:ascii="仿宋_GB2312" w:eastAsia="仿宋_GB2312" w:cs="仿宋_GB2312"/>
          <w:color w:val="000000"/>
          <w:kern w:val="0"/>
          <w:sz w:val="32"/>
          <w:szCs w:val="32"/>
        </w:rPr>
        <w:t>家，规模以上农家乐</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余家。以旅游接待、住宿餐饮、娱乐购物、景区游览、旅游交通为一体的旅游产业体系逐步优化完善。</w:t>
      </w:r>
    </w:p>
    <w:p w14:paraId="396C8E79">
      <w:pPr>
        <w:pStyle w:val="5"/>
        <w:spacing w:before="0" w:after="0" w:line="240" w:lineRule="auto"/>
        <w:ind w:firstLine="630" w:firstLineChars="196"/>
        <w:rPr>
          <w:rFonts w:ascii="宋体" w:hAnsi="宋体" w:eastAsia="宋体" w:cs="宋体"/>
          <w:bCs w:val="0"/>
          <w:color w:val="000000"/>
        </w:rPr>
      </w:pPr>
      <w:bookmarkStart w:id="25" w:name="_Toc102401504"/>
      <w:bookmarkStart w:id="26" w:name="_Toc118988175"/>
      <w:r>
        <w:rPr>
          <w:rFonts w:hint="eastAsia" w:ascii="宋体" w:hAnsi="宋体" w:eastAsia="宋体" w:cs="宋体"/>
          <w:bCs w:val="0"/>
          <w:color w:val="000000"/>
        </w:rPr>
        <w:t>（二）“十三五”存在的</w:t>
      </w:r>
      <w:bookmarkEnd w:id="24"/>
      <w:bookmarkEnd w:id="25"/>
      <w:r>
        <w:rPr>
          <w:rFonts w:hint="eastAsia" w:ascii="宋体" w:hAnsi="宋体" w:eastAsia="宋体" w:cs="宋体"/>
          <w:bCs w:val="0"/>
          <w:color w:val="000000"/>
        </w:rPr>
        <w:t>问题</w:t>
      </w:r>
      <w:bookmarkEnd w:id="26"/>
    </w:p>
    <w:p w14:paraId="07B62358">
      <w:pPr>
        <w:pStyle w:val="6"/>
        <w:spacing w:before="0" w:after="0" w:line="240" w:lineRule="auto"/>
        <w:ind w:firstLine="627" w:firstLineChars="196"/>
        <w:rPr>
          <w:rFonts w:ascii="仿宋_GB2312" w:eastAsia="仿宋_GB2312"/>
          <w:b w:val="0"/>
          <w:color w:val="000000"/>
        </w:rPr>
      </w:pPr>
      <w:bookmarkStart w:id="27" w:name="_Toc102401505"/>
      <w:bookmarkStart w:id="28" w:name="_Toc118988176"/>
      <w:r>
        <w:rPr>
          <w:rFonts w:ascii="仿宋_GB2312" w:eastAsia="仿宋_GB2312"/>
          <w:b w:val="0"/>
          <w:color w:val="000000"/>
        </w:rPr>
        <w:t>1.</w:t>
      </w:r>
      <w:r>
        <w:rPr>
          <w:rFonts w:hint="eastAsia" w:ascii="仿宋_GB2312" w:eastAsia="仿宋_GB2312"/>
          <w:b w:val="0"/>
          <w:color w:val="000000"/>
        </w:rPr>
        <w:t>文体设施建设有待完善</w:t>
      </w:r>
      <w:bookmarkEnd w:id="27"/>
      <w:bookmarkEnd w:id="28"/>
    </w:p>
    <w:p w14:paraId="61E366AA">
      <w:pPr>
        <w:spacing w:line="560" w:lineRule="exact"/>
        <w:ind w:firstLine="640" w:firstLineChars="200"/>
        <w:rPr>
          <w:rFonts w:ascii="仿宋_GB2312" w:eastAsia="仿宋_GB2312" w:cs="仿宋_GB2312"/>
          <w:kern w:val="0"/>
          <w:sz w:val="32"/>
          <w:szCs w:val="32"/>
        </w:rPr>
      </w:pPr>
      <w:r>
        <w:rPr>
          <w:rFonts w:hint="eastAsia" w:ascii="仿宋_GB2312" w:hAnsi="仿宋_GB2312" w:eastAsia="仿宋_GB2312" w:cs="仿宋_GB2312"/>
          <w:color w:val="000000"/>
          <w:kern w:val="0"/>
          <w:sz w:val="32"/>
          <w:szCs w:val="32"/>
        </w:rPr>
        <w:t>一是缺乏市级体育馆和游泳馆。鄂州是全省唯一一个不能承接和未承接省运会的地级市。二是区级公共文体基础设施“三馆一场”存在短板。</w:t>
      </w:r>
      <w:r>
        <w:rPr>
          <w:rFonts w:hint="eastAsia" w:ascii="仿宋_GB2312" w:eastAsia="仿宋_GB2312" w:cs="仿宋_GB2312"/>
          <w:kern w:val="0"/>
          <w:sz w:val="32"/>
          <w:szCs w:val="32"/>
          <w:lang w:val="en"/>
        </w:rPr>
        <w:t>三是</w:t>
      </w:r>
      <w:r>
        <w:rPr>
          <w:rFonts w:hint="eastAsia" w:ascii="仿宋_GB2312" w:eastAsia="仿宋_GB2312" w:cs="仿宋_GB2312"/>
          <w:kern w:val="0"/>
          <w:sz w:val="32"/>
          <w:szCs w:val="32"/>
        </w:rPr>
        <w:t>基层文体设施建设发展不平衡，</w:t>
      </w:r>
      <w:r>
        <w:rPr>
          <w:rFonts w:hint="eastAsia" w:ascii="仿宋_GB2312" w:eastAsia="仿宋_GB2312" w:cs="仿宋_GB2312"/>
          <w:kern w:val="0"/>
          <w:sz w:val="32"/>
          <w:szCs w:val="32"/>
          <w:lang w:val="en"/>
        </w:rPr>
        <w:t>部分综合文化服务中心功能不全，</w:t>
      </w:r>
      <w:r>
        <w:rPr>
          <w:rFonts w:hint="eastAsia" w:ascii="仿宋_GB2312" w:eastAsia="仿宋_GB2312" w:cs="仿宋_GB2312"/>
          <w:kern w:val="0"/>
          <w:sz w:val="32"/>
          <w:szCs w:val="32"/>
        </w:rPr>
        <w:t>亟待提档升级</w:t>
      </w:r>
      <w:r>
        <w:rPr>
          <w:rFonts w:hint="eastAsia" w:ascii="仿宋_GB2312" w:eastAsia="仿宋_GB2312" w:cs="仿宋_GB2312"/>
          <w:kern w:val="0"/>
          <w:sz w:val="32"/>
          <w:szCs w:val="32"/>
          <w:lang w:val="en"/>
        </w:rPr>
        <w:t>。</w:t>
      </w:r>
      <w:r>
        <w:rPr>
          <w:rFonts w:hint="eastAsia" w:ascii="仿宋_GB2312" w:eastAsia="仿宋_GB2312" w:cs="仿宋_GB2312"/>
          <w:kern w:val="0"/>
          <w:sz w:val="32"/>
          <w:szCs w:val="32"/>
        </w:rPr>
        <w:t>汀祖镇、华容镇、花湖镇等由于社会经济发展较好其综合文化服务中心建筑面积、图书阅览室、电子阅览室、教育培训室、管理辅助室、多功能厅、文体广场、小型健身活动中心等功能比较齐全，临江乡、庙岭镇、涂家垴镇等由于社会经济发展不够其综合文化服务中心多项指标勉强达标。</w:t>
      </w:r>
    </w:p>
    <w:p w14:paraId="1FE6BAFD">
      <w:pPr>
        <w:pStyle w:val="6"/>
        <w:spacing w:before="0" w:after="0" w:line="240" w:lineRule="auto"/>
        <w:ind w:firstLine="627" w:firstLineChars="196"/>
        <w:rPr>
          <w:rFonts w:ascii="仿宋_GB2312" w:eastAsia="仿宋_GB2312"/>
          <w:b w:val="0"/>
          <w:color w:val="000000"/>
        </w:rPr>
      </w:pPr>
      <w:bookmarkStart w:id="29" w:name="_Toc118988177"/>
      <w:bookmarkStart w:id="30" w:name="_Toc102401506"/>
      <w:r>
        <w:rPr>
          <w:rFonts w:ascii="仿宋_GB2312" w:eastAsia="仿宋_GB2312"/>
          <w:b w:val="0"/>
          <w:color w:val="000000"/>
        </w:rPr>
        <w:t>2.</w:t>
      </w:r>
      <w:r>
        <w:rPr>
          <w:rFonts w:hint="eastAsia" w:ascii="仿宋_GB2312" w:eastAsia="仿宋_GB2312"/>
          <w:b w:val="0"/>
          <w:color w:val="000000"/>
        </w:rPr>
        <w:t>全域旅游质效有待升级</w:t>
      </w:r>
      <w:bookmarkEnd w:id="29"/>
      <w:bookmarkEnd w:id="30"/>
    </w:p>
    <w:p w14:paraId="3271AEF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供给仍显乏力。全市“有资源、缺产品”“不平衡、不充分”的现象较为明显，缺乏重量级旅游核心吸引物，尤其是度假旅游产品的供给亟待完善。旅游客源市场拓展不足。国内旅游市场，尤其是以武汉为核心的旅游市场规模有待提升。境外市场异常薄弱，对外交往合作水平需进一步加强。基础设施仍存短板，部分景区（点）旅游交通存在瓶颈，部分景区手机信号弱且不稳定，且智慧旅游发展相对滞后。体制机制不够健全。全域旅游创新示范引领不足，营商环境仍需优化，《市人民政府关于加快全市文化和旅游产业高质量发展的实施意见》（鄂州政发〔</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号）中涉旅政策需要进一步落实，旅游交通管理、旅游物价管理等政策与市场主体发展要求存在差距。</w:t>
      </w:r>
    </w:p>
    <w:p w14:paraId="4C0C05AE">
      <w:pPr>
        <w:pStyle w:val="6"/>
        <w:spacing w:before="0" w:after="0" w:line="240" w:lineRule="auto"/>
        <w:ind w:firstLine="627" w:firstLineChars="196"/>
        <w:rPr>
          <w:rFonts w:ascii="仿宋_GB2312" w:eastAsia="仿宋_GB2312"/>
          <w:b w:val="0"/>
          <w:color w:val="000000"/>
        </w:rPr>
      </w:pPr>
      <w:bookmarkStart w:id="31" w:name="_Toc102401507"/>
      <w:bookmarkStart w:id="32" w:name="_Toc118988178"/>
      <w:r>
        <w:rPr>
          <w:rFonts w:ascii="仿宋_GB2312" w:eastAsia="仿宋_GB2312"/>
          <w:b w:val="0"/>
          <w:color w:val="000000"/>
        </w:rPr>
        <w:t>3.</w:t>
      </w:r>
      <w:r>
        <w:rPr>
          <w:rFonts w:hint="eastAsia" w:ascii="仿宋_GB2312" w:eastAsia="仿宋_GB2312"/>
          <w:b w:val="0"/>
          <w:color w:val="000000"/>
        </w:rPr>
        <w:t>体育发展水平有待提升</w:t>
      </w:r>
      <w:bookmarkEnd w:id="31"/>
      <w:bookmarkEnd w:id="32"/>
    </w:p>
    <w:p w14:paraId="1B77F6B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产业规模较小，质量效益有待提高。全市体育用品制造和销售产业链单一且薄弱，基本处于价值链中低端。需求旺盛、高附加值的体育服务业占比偏低、种类较少。市场主体存在“小、散、弱”情况，结构不优、质量不高，对地方经济社会发展的拉动作用不强。竞技体育综合竞争力较弱，优势运动项目少、规模偏小，训练备战体系不够完善。田径、游泳等基础大项和“三大球”（足球、篮球、排球）等集体球类项目实力较弱，持续发展能力不强。体育事业发展体制机制有待进一步完善。</w:t>
      </w:r>
    </w:p>
    <w:p w14:paraId="7E26DB0D">
      <w:pPr>
        <w:pStyle w:val="6"/>
        <w:spacing w:before="0" w:after="0" w:line="240" w:lineRule="auto"/>
        <w:ind w:firstLine="627" w:firstLineChars="196"/>
        <w:rPr>
          <w:rFonts w:ascii="仿宋_GB2312" w:eastAsia="仿宋_GB2312"/>
          <w:b w:val="0"/>
          <w:color w:val="000000"/>
        </w:rPr>
      </w:pPr>
      <w:bookmarkStart w:id="33" w:name="_Toc118988179"/>
      <w:bookmarkStart w:id="34" w:name="_Toc102401508"/>
      <w:r>
        <w:rPr>
          <w:rFonts w:ascii="仿宋_GB2312" w:eastAsia="仿宋_GB2312"/>
          <w:b w:val="0"/>
          <w:color w:val="000000"/>
        </w:rPr>
        <w:t>4.</w:t>
      </w:r>
      <w:r>
        <w:rPr>
          <w:rFonts w:hint="eastAsia" w:ascii="仿宋_GB2312" w:eastAsia="仿宋_GB2312"/>
          <w:b w:val="0"/>
          <w:color w:val="000000"/>
        </w:rPr>
        <w:t>广电建设步伐有待加快</w:t>
      </w:r>
      <w:bookmarkEnd w:id="33"/>
      <w:bookmarkEnd w:id="34"/>
    </w:p>
    <w:p w14:paraId="785EF8C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面对新媒体、新业态、新技术的迅猛发展，全市传统主流媒体融合转型发展仍然存在一定困难，在全国全省有影响力的广播电视精品力作依然偏少。市场体系培育不够充分，尤其是近年来受政策、市场和新媒体冲击等多重因素影响，广电经营创收受到极大影响。在广播电视监管方面也存在设备设施投入不足，监管力量薄弱等问题。</w:t>
      </w:r>
    </w:p>
    <w:p w14:paraId="667B15ED">
      <w:pPr>
        <w:pStyle w:val="6"/>
        <w:spacing w:before="0" w:after="0" w:line="240" w:lineRule="auto"/>
        <w:ind w:firstLine="627" w:firstLineChars="196"/>
        <w:rPr>
          <w:rFonts w:ascii="仿宋_GB2312" w:eastAsia="仿宋_GB2312"/>
          <w:b w:val="0"/>
          <w:color w:val="000000"/>
        </w:rPr>
      </w:pPr>
      <w:bookmarkStart w:id="35" w:name="_Toc102401509"/>
      <w:bookmarkStart w:id="36" w:name="_Toc118988180"/>
      <w:r>
        <w:rPr>
          <w:rFonts w:ascii="仿宋_GB2312" w:eastAsia="仿宋_GB2312"/>
          <w:b w:val="0"/>
          <w:color w:val="000000"/>
        </w:rPr>
        <w:t>5.</w:t>
      </w:r>
      <w:r>
        <w:rPr>
          <w:rFonts w:hint="eastAsia" w:ascii="仿宋_GB2312" w:eastAsia="仿宋_GB2312"/>
          <w:b w:val="0"/>
          <w:color w:val="000000"/>
        </w:rPr>
        <w:t>产业融合深度有待加强</w:t>
      </w:r>
      <w:bookmarkEnd w:id="35"/>
      <w:bookmarkEnd w:id="36"/>
    </w:p>
    <w:p w14:paraId="2A6C64C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融合的产品转化率不足，文化创意、高科技元素与旅游融合的应用较少。文化遗存、工艺品、艺术表演、非物质文化遗产等转化为旅游产品的能力有限。体旅融合广度和深度不够，体育赛事市场化程度不高，体育旅游处于起步状态。文旅体广协同发展有待加强，与现代服务业、高新技术产业等全市其他产业的融合互动、互补、互惠不够。</w:t>
      </w:r>
    </w:p>
    <w:p w14:paraId="78BD480B">
      <w:pPr>
        <w:pStyle w:val="6"/>
        <w:spacing w:before="0" w:after="0" w:line="240" w:lineRule="auto"/>
        <w:ind w:firstLine="627" w:firstLineChars="196"/>
        <w:rPr>
          <w:rFonts w:ascii="仿宋_GB2312" w:eastAsia="仿宋_GB2312"/>
          <w:b w:val="0"/>
          <w:color w:val="000000"/>
        </w:rPr>
      </w:pPr>
      <w:bookmarkStart w:id="37" w:name="_Toc102401510"/>
      <w:bookmarkStart w:id="38" w:name="_Toc118988181"/>
      <w:r>
        <w:rPr>
          <w:rFonts w:ascii="仿宋_GB2312" w:eastAsia="仿宋_GB2312"/>
          <w:b w:val="0"/>
          <w:color w:val="000000"/>
        </w:rPr>
        <w:t>6.</w:t>
      </w:r>
      <w:r>
        <w:rPr>
          <w:rFonts w:hint="eastAsia" w:ascii="仿宋_GB2312" w:eastAsia="仿宋_GB2312"/>
          <w:b w:val="0"/>
          <w:color w:val="000000"/>
        </w:rPr>
        <w:t>专业人才队伍</w:t>
      </w:r>
      <w:bookmarkEnd w:id="37"/>
      <w:r>
        <w:rPr>
          <w:rFonts w:hint="eastAsia" w:ascii="仿宋_GB2312" w:eastAsia="仿宋_GB2312"/>
          <w:b w:val="0"/>
          <w:color w:val="000000"/>
        </w:rPr>
        <w:t>普遍缺少</w:t>
      </w:r>
      <w:bookmarkEnd w:id="38"/>
    </w:p>
    <w:p w14:paraId="4301709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文化、旅游、体育、广电各自的人才队伍结构都不尽合理，专业对口技术人员缺乏，高端领军人才更是短缺。</w:t>
      </w:r>
      <w:r>
        <w:rPr>
          <w:rFonts w:hint="eastAsia" w:ascii="仿宋_GB2312" w:eastAsia="仿宋_GB2312" w:cs="仿宋_GB2312"/>
          <w:kern w:val="0"/>
          <w:sz w:val="32"/>
          <w:szCs w:val="32"/>
        </w:rPr>
        <w:t>按照《关于推动湖北省公共文化服务高质量发展的实施意见》（鄂文旅发</w:t>
      </w:r>
      <w:r>
        <w:rPr>
          <w:rFonts w:hint="eastAsia" w:ascii="方正隶书_GBK" w:hAnsi="方正隶书_GBK" w:eastAsia="方正隶书_GBK" w:cs="方正隶书_GBK"/>
          <w:kern w:val="0"/>
          <w:sz w:val="32"/>
          <w:szCs w:val="32"/>
        </w:rPr>
        <w:t>〔</w:t>
      </w:r>
      <w:r>
        <w:rPr>
          <w:rFonts w:ascii="仿宋_GB2312" w:hAnsi="仿宋_GB2312" w:eastAsia="仿宋_GB2312" w:cs="仿宋_GB2312"/>
          <w:kern w:val="0"/>
          <w:sz w:val="32"/>
          <w:szCs w:val="32"/>
        </w:rPr>
        <w:t>2021</w:t>
      </w:r>
      <w:r>
        <w:rPr>
          <w:rFonts w:hint="eastAsia" w:ascii="仿宋" w:hAnsi="仿宋" w:eastAsia="仿宋" w:cs="仿宋"/>
          <w:kern w:val="0"/>
          <w:sz w:val="32"/>
          <w:szCs w:val="32"/>
        </w:rPr>
        <w:t>〕</w:t>
      </w:r>
      <w:r>
        <w:rPr>
          <w:rFonts w:ascii="仿宋" w:hAnsi="仿宋" w:eastAsia="仿宋" w:cs="仿宋"/>
          <w:kern w:val="0"/>
          <w:sz w:val="32"/>
          <w:szCs w:val="32"/>
        </w:rPr>
        <w:t>43</w:t>
      </w:r>
      <w:r>
        <w:rPr>
          <w:rFonts w:hint="eastAsia" w:ascii="仿宋" w:hAnsi="仿宋" w:eastAsia="仿宋" w:cs="仿宋"/>
          <w:kern w:val="0"/>
          <w:sz w:val="32"/>
          <w:szCs w:val="32"/>
        </w:rPr>
        <w:t>号</w:t>
      </w:r>
      <w:r>
        <w:rPr>
          <w:rFonts w:hint="eastAsia" w:ascii="仿宋_GB2312" w:eastAsia="仿宋_GB2312" w:cs="仿宋_GB2312"/>
          <w:kern w:val="0"/>
          <w:sz w:val="32"/>
          <w:szCs w:val="32"/>
        </w:rPr>
        <w:t>）文件规定，“乡镇文化站每站配备公益性服务岗位工作人员不少于</w:t>
      </w:r>
      <w:r>
        <w:rPr>
          <w:rFonts w:ascii="仿宋_GB2312" w:eastAsia="仿宋_GB2312" w:cs="仿宋_GB2312"/>
          <w:kern w:val="0"/>
          <w:sz w:val="32"/>
          <w:szCs w:val="32"/>
        </w:rPr>
        <w:t>2</w:t>
      </w:r>
      <w:r>
        <w:rPr>
          <w:rFonts w:hint="eastAsia" w:ascii="仿宋_GB2312" w:eastAsia="仿宋_GB2312" w:cs="仿宋_GB2312"/>
          <w:kern w:val="0"/>
          <w:sz w:val="32"/>
          <w:szCs w:val="32"/>
        </w:rPr>
        <w:t>人”的要求没有落实到位。在一定程</w:t>
      </w:r>
      <w:r>
        <w:rPr>
          <w:rFonts w:hint="eastAsia" w:ascii="仿宋_GB2312" w:eastAsia="仿宋_GB2312" w:cs="仿宋_GB2312"/>
          <w:color w:val="000000"/>
          <w:kern w:val="0"/>
          <w:sz w:val="32"/>
          <w:szCs w:val="32"/>
        </w:rPr>
        <w:t>度上制约了全市文化旅游体育广电业的快速发展。</w:t>
      </w:r>
    </w:p>
    <w:p w14:paraId="0F3FAC30">
      <w:pPr>
        <w:pStyle w:val="5"/>
        <w:spacing w:before="0" w:after="0" w:line="240" w:lineRule="auto"/>
        <w:ind w:firstLine="630" w:firstLineChars="196"/>
        <w:rPr>
          <w:rFonts w:ascii="宋体" w:hAnsi="宋体" w:eastAsia="宋体" w:cs="宋体"/>
          <w:bCs w:val="0"/>
          <w:color w:val="000000"/>
        </w:rPr>
      </w:pPr>
      <w:bookmarkStart w:id="39" w:name="_Toc118988182"/>
      <w:bookmarkStart w:id="40" w:name="_Toc96722245"/>
      <w:r>
        <w:rPr>
          <w:rFonts w:hint="eastAsia" w:ascii="宋体" w:hAnsi="宋体" w:eastAsia="宋体" w:cs="宋体"/>
          <w:bCs w:val="0"/>
          <w:color w:val="000000"/>
        </w:rPr>
        <w:t>（三）“十四五”面临的机遇和挑战</w:t>
      </w:r>
      <w:bookmarkEnd w:id="39"/>
      <w:bookmarkEnd w:id="40"/>
    </w:p>
    <w:p w14:paraId="71FAA73A">
      <w:pPr>
        <w:pStyle w:val="6"/>
        <w:spacing w:before="0" w:after="0" w:line="240" w:lineRule="auto"/>
        <w:ind w:firstLine="627" w:firstLineChars="196"/>
        <w:rPr>
          <w:rFonts w:ascii="仿宋_GB2312" w:eastAsia="仿宋_GB2312"/>
          <w:b w:val="0"/>
          <w:color w:val="000000"/>
        </w:rPr>
      </w:pPr>
      <w:bookmarkStart w:id="41" w:name="_Toc118988183"/>
      <w:r>
        <w:rPr>
          <w:rFonts w:ascii="仿宋_GB2312" w:eastAsia="仿宋_GB2312"/>
          <w:b w:val="0"/>
          <w:color w:val="000000"/>
        </w:rPr>
        <w:t>1.</w:t>
      </w:r>
      <w:r>
        <w:rPr>
          <w:rFonts w:hint="eastAsia" w:ascii="仿宋_GB2312" w:eastAsia="仿宋_GB2312"/>
          <w:b w:val="0"/>
          <w:color w:val="000000"/>
        </w:rPr>
        <w:t>“十四五”面临的机遇</w:t>
      </w:r>
      <w:bookmarkEnd w:id="41"/>
    </w:p>
    <w:p w14:paraId="08544CFE">
      <w:pPr>
        <w:spacing w:line="560" w:lineRule="exact"/>
        <w:ind w:firstLine="640" w:firstLineChars="200"/>
        <w:rPr>
          <w:rFonts w:ascii="仿宋_GB2312" w:eastAsia="仿宋_GB2312" w:cs="仿宋_GB2312"/>
          <w:color w:val="000000"/>
          <w:kern w:val="0"/>
          <w:sz w:val="32"/>
          <w:szCs w:val="32"/>
        </w:rPr>
      </w:pPr>
      <w:bookmarkStart w:id="42" w:name="_Toc85899700"/>
      <w:r>
        <w:rPr>
          <w:rFonts w:hint="eastAsia" w:ascii="仿宋_GB2312" w:eastAsia="仿宋_GB2312" w:cs="仿宋_GB2312"/>
          <w:color w:val="000000"/>
          <w:kern w:val="0"/>
          <w:sz w:val="32"/>
          <w:szCs w:val="32"/>
        </w:rPr>
        <w:t>中华民族伟大复兴战略全局和世界百年未有之大变局历史性交汇，相互作用、相互激荡是鲜明的时代特征。在此大背景下，“十四五”时期鄂州文化和旅游发展所面临的机遇与挑战有了新的变化。</w:t>
      </w:r>
    </w:p>
    <w:p w14:paraId="6A156A2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）宏观层面重大战略部署为行业发展</w:t>
      </w:r>
      <w:bookmarkEnd w:id="42"/>
      <w:r>
        <w:rPr>
          <w:rFonts w:hint="eastAsia" w:ascii="仿宋_GB2312" w:eastAsia="仿宋_GB2312" w:cs="仿宋_GB2312"/>
          <w:color w:val="000000"/>
          <w:kern w:val="0"/>
          <w:sz w:val="32"/>
          <w:szCs w:val="32"/>
        </w:rPr>
        <w:t>激发新动能。　党的十九届五中全会提出到</w:t>
      </w:r>
      <w:r>
        <w:rPr>
          <w:rFonts w:ascii="仿宋_GB2312" w:eastAsia="仿宋_GB2312" w:cs="仿宋_GB2312"/>
          <w:color w:val="000000"/>
          <w:kern w:val="0"/>
          <w:sz w:val="32"/>
          <w:szCs w:val="32"/>
        </w:rPr>
        <w:t>2035</w:t>
      </w:r>
      <w:r>
        <w:rPr>
          <w:rFonts w:hint="eastAsia" w:ascii="仿宋_GB2312" w:eastAsia="仿宋_GB2312" w:cs="仿宋_GB2312"/>
          <w:color w:val="000000"/>
          <w:kern w:val="0"/>
          <w:sz w:val="32"/>
          <w:szCs w:val="32"/>
        </w:rPr>
        <w:t>年建成文化强国的远景目标，并强调在“十四五”期间推进社会主义文化强国建设。中央先后密集出台了一系列支持文化旅游体育广电业发展的政策文件，并围绕推动“大众创业、万众创新”“一带一路”“长江大保护”“乡村振兴战略”“供给侧结构性改革”“双循环战略”等方面作出了一系列战略部署。《中共湖北省委关于制定全省国民经济和社会发展第十四个五年规划和二〇三五年远景目标的建议》提出“推进文化强省，打造荆楚文化品牌”。鄂州市委八次党代会提出“武鄂同城、城乡融合”的发展定位，通过构建“一核两极多点支撑”的发展格局，加快实现全市建成“两区一枢纽”的宏伟目标。鄂州市</w:t>
      </w:r>
      <w:r>
        <w:rPr>
          <w:rFonts w:ascii="仿宋_GB2312" w:eastAsia="仿宋_GB2312" w:cs="仿宋_GB2312"/>
          <w:color w:val="000000"/>
          <w:kern w:val="0"/>
          <w:sz w:val="32"/>
          <w:szCs w:val="32"/>
        </w:rPr>
        <w:t>2022</w:t>
      </w:r>
      <w:r>
        <w:rPr>
          <w:rFonts w:hint="eastAsia" w:ascii="仿宋_GB2312" w:eastAsia="仿宋_GB2312" w:cs="仿宋_GB2312"/>
          <w:color w:val="000000"/>
          <w:kern w:val="0"/>
          <w:sz w:val="32"/>
          <w:szCs w:val="32"/>
        </w:rPr>
        <w:t>年政府工作报告提出，着力擦亮吴都文化新名片。众多利好政策为鄂州市文化旅游体育广电业发展提供了强大的政策依托与难得的发展机遇。</w:t>
      </w:r>
    </w:p>
    <w:p w14:paraId="13F424CC">
      <w:pPr>
        <w:spacing w:line="560" w:lineRule="exact"/>
        <w:ind w:firstLine="640" w:firstLineChars="200"/>
        <w:rPr>
          <w:rFonts w:ascii="仿宋_GB2312" w:eastAsia="仿宋_GB2312" w:cs="仿宋_GB2312"/>
          <w:color w:val="000000"/>
          <w:kern w:val="0"/>
          <w:sz w:val="32"/>
          <w:szCs w:val="32"/>
        </w:rPr>
      </w:pPr>
      <w:bookmarkStart w:id="43" w:name="_Toc85899701"/>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）“武鄂黄黄”发展定位</w:t>
      </w:r>
      <w:bookmarkEnd w:id="43"/>
      <w:r>
        <w:rPr>
          <w:rFonts w:hint="eastAsia" w:ascii="仿宋_GB2312" w:eastAsia="仿宋_GB2312" w:cs="仿宋_GB2312"/>
          <w:color w:val="000000"/>
          <w:kern w:val="0"/>
          <w:sz w:val="32"/>
          <w:szCs w:val="32"/>
        </w:rPr>
        <w:t>为鄂州发展带来得天独厚的机遇。为适应国家区域政策调整变化，省第十二次党代会明确提出构建新发展格局先行区发展定位，大力发展以武鄂黄黄为核心的武汉都市圈发展战略。鄂州毗邻武汉，具有天然的区位优势，花湖机场的落地建设为鄂州市“十四五”发展再添重要引擎。为加快融入大武汉，顺应鄂黄黄都市圈发展战略，全市突破思维边界和行政边界，积极参与武汉新一线城市和国家中心城市建设。随着全市“武鄂同城、城乡融合”战略的全面实施，武鄂基础设施一体化不断推进，武鄂经济联系日益增强，全市的城市综合能级也将会得到有效提升，这为鄂州市文化旅游体育广电业在更高平台上整合资源并实现跨越发展提供了动力支持。</w:t>
      </w:r>
    </w:p>
    <w:p w14:paraId="6BBA6E9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）科技创新为鄂州文旅产业发展提供新支撑。</w:t>
      </w:r>
    </w:p>
    <w:p w14:paraId="3FE24DD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《国家创新驱动发展战略纲要》提出，到</w:t>
      </w:r>
      <w:r>
        <w:rPr>
          <w:rFonts w:ascii="仿宋_GB2312" w:eastAsia="仿宋_GB2312" w:cs="仿宋_GB2312"/>
          <w:color w:val="000000"/>
          <w:kern w:val="0"/>
          <w:sz w:val="32"/>
          <w:szCs w:val="32"/>
        </w:rPr>
        <w:t>2030</w:t>
      </w:r>
      <w:r>
        <w:rPr>
          <w:rFonts w:hint="eastAsia" w:ascii="仿宋_GB2312" w:eastAsia="仿宋_GB2312" w:cs="仿宋_GB2312"/>
          <w:color w:val="000000"/>
          <w:kern w:val="0"/>
          <w:sz w:val="32"/>
          <w:szCs w:val="32"/>
        </w:rPr>
        <w:t>年我国将跻身创新型国家前列。在创新驱动发展战略引领下，“新基建”“数字文旅”等数字化、网络化及智能化科技创新成果将推动文化产业和旅游产业步入智慧时代。新一轮产业革命和科技革命机遇，特别光谷科创大走廊，将推动鄂州加快产业发展方式，催生新业态，优化传统业态，从供给侧实现新跃升。加快旅游与文化、农业、体育、医疗、养生、科技等产业的融合，拓展鄂州文旅发展新空间，形成鄂州文化旅游体育广电业发展的新动能，是破解鄂州市旅游业效益不强的有效途径，有利于实现鄂州文化旅游体育广电业的转型升级和高质量发展。</w:t>
      </w:r>
    </w:p>
    <w:p w14:paraId="221858A5">
      <w:pPr>
        <w:pStyle w:val="6"/>
        <w:spacing w:before="0" w:after="0" w:line="240" w:lineRule="auto"/>
        <w:ind w:firstLine="627" w:firstLineChars="196"/>
        <w:rPr>
          <w:rFonts w:ascii="仿宋_GB2312" w:eastAsia="仿宋_GB2312"/>
          <w:b w:val="0"/>
          <w:color w:val="000000"/>
        </w:rPr>
      </w:pPr>
      <w:bookmarkStart w:id="44" w:name="_Toc118988184"/>
      <w:bookmarkStart w:id="45" w:name="_Toc85899703"/>
      <w:r>
        <w:rPr>
          <w:rFonts w:ascii="仿宋_GB2312" w:eastAsia="仿宋_GB2312"/>
          <w:b w:val="0"/>
          <w:color w:val="000000"/>
        </w:rPr>
        <w:t>2.</w:t>
      </w:r>
      <w:r>
        <w:rPr>
          <w:rFonts w:hint="eastAsia" w:ascii="仿宋_GB2312" w:eastAsia="仿宋_GB2312"/>
          <w:b w:val="0"/>
          <w:color w:val="000000"/>
        </w:rPr>
        <w:t>“十四五”面临的挑战</w:t>
      </w:r>
      <w:bookmarkEnd w:id="44"/>
      <w:bookmarkEnd w:id="45"/>
    </w:p>
    <w:p w14:paraId="7592170A">
      <w:pPr>
        <w:spacing w:line="560" w:lineRule="exact"/>
        <w:ind w:firstLine="640" w:firstLineChars="200"/>
        <w:rPr>
          <w:rFonts w:ascii="仿宋_GB2312" w:eastAsia="仿宋_GB2312" w:cs="仿宋_GB2312"/>
          <w:color w:val="000000"/>
          <w:kern w:val="0"/>
          <w:sz w:val="32"/>
          <w:szCs w:val="32"/>
        </w:rPr>
      </w:pPr>
      <w:bookmarkStart w:id="46" w:name="_Toc85899704"/>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）“双循环”背景下转型升级的挑战</w:t>
      </w:r>
      <w:bookmarkEnd w:id="46"/>
      <w:r>
        <w:rPr>
          <w:rFonts w:hint="eastAsia" w:ascii="仿宋_GB2312" w:eastAsia="仿宋_GB2312" w:cs="仿宋_GB2312"/>
          <w:color w:val="000000"/>
          <w:kern w:val="0"/>
          <w:sz w:val="32"/>
          <w:szCs w:val="32"/>
        </w:rPr>
        <w:t>。“十三五”期间，面对国内外复杂的形式，党中央明确提出“加快形成以国内大循环为主体、国内国际双循环相互促进的新发展格局”。这是我国中长期经济发展思路的重大转变，也是百年未有之大变局下的必然选择。“双循环”的重点是要提升国内消费数量和质量，深化供给侧结构性改革。从文化业来看，鄂州文化产品薄弱。对于主动开拓文化市场、寻找消费者、市场发展等核心问题，短板较为明显。从旅游业来看，以鄂州本地和武汉为主要客源地的鄂州旅游业“自驾、自主、自助、自费”等开放式旅游渐成主体，团队游客比例明显下降，散客旅游的比例明显上升，线上消费也呈现出加速上升的趋势。与之相对应的是，传统老景区与传统旅游产品的竞争力会进一步萎缩，一批社会认可度高的新兴景区将成为市场“新宠”，旅游服务业的移动终端、</w:t>
      </w:r>
      <w:r>
        <w:rPr>
          <w:rFonts w:ascii="仿宋_GB2312" w:eastAsia="仿宋_GB2312" w:cs="仿宋_GB2312"/>
          <w:color w:val="000000"/>
          <w:kern w:val="0"/>
          <w:sz w:val="32"/>
          <w:szCs w:val="32"/>
        </w:rPr>
        <w:t>WiFi</w:t>
      </w:r>
      <w:r>
        <w:rPr>
          <w:rFonts w:hint="eastAsia" w:ascii="仿宋_GB2312" w:eastAsia="仿宋_GB2312" w:cs="仿宋_GB2312"/>
          <w:color w:val="000000"/>
          <w:kern w:val="0"/>
          <w:sz w:val="32"/>
          <w:szCs w:val="32"/>
        </w:rPr>
        <w:t>、智慧旅游将是今后景区和区域旅游竞争的“主战场”。鄂州旅游如何在“双循环”发展格局下顺应新潮流，突破传统方式，加速转型升级，也亟需破题。从体育业来看，全市目前体育产业发展薄弱，从业人数占总就业人口的比重明显偏低，体育营销、传播、广告收益严重不足，无法满足迅猛发展的行业需要。从广电业来看，随着云计算、大数据、人工智能、超高清、宽带互联网和智能电视终端等新一代信息技术的发展，鄂州广电行业网络宽带化、系统智能化和媒体融合化都面临着重大挑战。</w:t>
      </w:r>
    </w:p>
    <w:p w14:paraId="03C53051">
      <w:pPr>
        <w:spacing w:line="560" w:lineRule="exact"/>
        <w:ind w:firstLine="640" w:firstLineChars="200"/>
        <w:rPr>
          <w:rFonts w:ascii="仿宋_GB2312" w:eastAsia="仿宋_GB2312" w:cs="仿宋_GB2312"/>
          <w:color w:val="000000"/>
          <w:kern w:val="0"/>
          <w:sz w:val="32"/>
          <w:szCs w:val="32"/>
        </w:rPr>
      </w:pPr>
      <w:bookmarkStart w:id="47" w:name="_Toc85899705"/>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）“全要素”背景下要素整合的挑战</w:t>
      </w:r>
      <w:bookmarkEnd w:id="47"/>
      <w:r>
        <w:rPr>
          <w:rFonts w:hint="eastAsia" w:ascii="仿宋_GB2312" w:eastAsia="仿宋_GB2312" w:cs="仿宋_GB2312"/>
          <w:color w:val="000000"/>
          <w:kern w:val="0"/>
          <w:sz w:val="32"/>
          <w:szCs w:val="32"/>
        </w:rPr>
        <w:t>。文化旅游体育广电业的发展涵盖了土地、资金、人才、信息、能源、科技、管理、产权、品牌等系列产业发展要素，银行、金融、保险、证券等系列资本要素，民俗、文物、非遗、风貌等系列文化要素，以及网络、数字信息化等系列技术要素。这些要素中很多都是培育和发展文化旅游业不可或缺的基本要素，成为制约文化旅游业融合发展、跨界发展、纵深发展的负面因素。如何使更多要素服务于文化旅游体育广电业，调动更多要素成为激活鄂州文旅体广发展的“润滑剂”，在要素整合中释放蓬勃活力，培育跨界融合的大行业、大产业，是鄂州文化旅游体育广电业面临的又一挑战。</w:t>
      </w:r>
    </w:p>
    <w:p w14:paraId="54490110">
      <w:pPr>
        <w:spacing w:line="560" w:lineRule="exact"/>
        <w:ind w:firstLine="640" w:firstLineChars="200"/>
        <w:rPr>
          <w:rFonts w:ascii="仿宋_GB2312" w:eastAsia="仿宋_GB2312" w:cs="仿宋_GB2312"/>
          <w:color w:val="000000"/>
          <w:kern w:val="0"/>
          <w:sz w:val="32"/>
          <w:szCs w:val="32"/>
        </w:rPr>
      </w:pPr>
      <w:bookmarkStart w:id="48" w:name="_Toc85899706"/>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）“后疫情”背景下未知因素的挑战</w:t>
      </w:r>
      <w:bookmarkEnd w:id="48"/>
      <w:r>
        <w:rPr>
          <w:rFonts w:hint="eastAsia" w:ascii="仿宋_GB2312" w:eastAsia="仿宋_GB2312" w:cs="仿宋_GB2312"/>
          <w:color w:val="000000"/>
          <w:kern w:val="0"/>
          <w:sz w:val="32"/>
          <w:szCs w:val="32"/>
        </w:rPr>
        <w:t>。“十三五”末期，新冠肺炎使世界经济都遭受了严重冲击，特别是文旅行业首当其冲，受到致命打击。虽然我国在防疫抗疫方面取得了重大的阶段性成果，但常态化疫情防控对文化、旅游、体育、广电业的影响，依然存在较大的不确定性。疫情因素使社会资本进入文化旅游体育广电业的动力，国民参与文化、旅游、体育消费的热情，都将增加文化旅游体育广电业发展的未知性。加之宏观经济的放缓、诸多未知突发事件以及传统和非传统的安全因素影响，如何充分激活文旅体广企业的资金周转、业务流通、人员流动，如何刺激文旅体广消费者的消费热情，实现“短期刺激提振、中期改革升级和长期自我循环”，也将是鄂州市文化旅游体育广电业在“十四五”必须面对的一大挑战。</w:t>
      </w:r>
    </w:p>
    <w:p w14:paraId="08F13B97">
      <w:pPr>
        <w:pStyle w:val="4"/>
        <w:spacing w:before="0" w:after="0" w:line="240" w:lineRule="auto"/>
        <w:ind w:firstLine="640" w:firstLineChars="200"/>
        <w:rPr>
          <w:rFonts w:ascii="微软雅黑" w:hAnsi="微软雅黑" w:eastAsia="微软雅黑" w:cs="微软雅黑"/>
          <w:bCs w:val="0"/>
          <w:color w:val="000000"/>
          <w:sz w:val="32"/>
          <w:szCs w:val="32"/>
        </w:rPr>
      </w:pPr>
      <w:bookmarkStart w:id="49" w:name="_Toc102401511"/>
      <w:bookmarkStart w:id="50" w:name="_Toc118988185"/>
      <w:r>
        <w:rPr>
          <w:rFonts w:hint="eastAsia" w:ascii="微软雅黑" w:hAnsi="微软雅黑" w:eastAsia="微软雅黑" w:cs="微软雅黑"/>
          <w:bCs w:val="0"/>
          <w:color w:val="000000"/>
          <w:sz w:val="32"/>
          <w:szCs w:val="32"/>
        </w:rPr>
        <w:t>二、总体要求</w:t>
      </w:r>
      <w:bookmarkEnd w:id="49"/>
      <w:bookmarkEnd w:id="50"/>
    </w:p>
    <w:p w14:paraId="7D4E8F8A">
      <w:pPr>
        <w:pStyle w:val="5"/>
        <w:spacing w:before="0" w:after="0" w:line="240" w:lineRule="auto"/>
        <w:ind w:firstLine="630" w:firstLineChars="196"/>
        <w:rPr>
          <w:rFonts w:ascii="宋体" w:hAnsi="宋体" w:eastAsia="宋体" w:cs="宋体"/>
          <w:bCs w:val="0"/>
          <w:color w:val="000000"/>
        </w:rPr>
      </w:pPr>
      <w:bookmarkStart w:id="51" w:name="_Toc42789421"/>
      <w:bookmarkStart w:id="52" w:name="_Toc85899708"/>
      <w:bookmarkStart w:id="53" w:name="_Toc96722247"/>
      <w:bookmarkStart w:id="54" w:name="_Toc118988186"/>
      <w:bookmarkStart w:id="55" w:name="_Toc102401512"/>
      <w:r>
        <w:rPr>
          <w:rFonts w:hint="eastAsia" w:ascii="宋体" w:hAnsi="宋体" w:eastAsia="宋体" w:cs="宋体"/>
          <w:bCs w:val="0"/>
          <w:color w:val="000000"/>
        </w:rPr>
        <w:t>（一）指导思想</w:t>
      </w:r>
      <w:bookmarkEnd w:id="51"/>
      <w:bookmarkEnd w:id="52"/>
      <w:bookmarkEnd w:id="53"/>
      <w:bookmarkEnd w:id="54"/>
      <w:bookmarkEnd w:id="55"/>
    </w:p>
    <w:p w14:paraId="7122C12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坚持以习近平新时代中国特色社会主义思想为指导，高举中国特色社会主义伟大旗帜，深入贯彻党的十九大、二十大精神，深入贯彻习近平总书记考察湖北、视察鄂州重要讲话精神，立足新发展阶段</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完整、准确、全面贯彻新发展理念，服务和融入新发展格局</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牢牢把握省委、省政府“武鄂黄黄都市圈”的发展定位</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主动嵌入全省发展格局，助力湖北省建设全国构建新发展格局先行区，加快“武鄂同城、城乡融合”建设，推动文化旅游高质量发展。在中共鄂州市委、市政府坚强领导下，紧紧围绕举旗帜、聚民心、育新人、兴文化、展形象的使命任务，以推进文化旅游体育广电高质量发展为主题，以深化供给侧结构性改革为主线，以改革创新为根本动力，以满足人民日益增长的美好生活需要为根本目的，推进文化铸魂、实施文化赋能，推进旅游为民、实施旅游带动，推进双循环，互促发展，推进文化旅游体育广电融合创新，实现鄂州文化旅游跨越式、突破性发展。</w:t>
      </w:r>
    </w:p>
    <w:p w14:paraId="1DD03C65">
      <w:pPr>
        <w:pStyle w:val="5"/>
        <w:spacing w:before="0" w:after="0" w:line="240" w:lineRule="auto"/>
        <w:ind w:firstLine="630" w:firstLineChars="196"/>
        <w:rPr>
          <w:rFonts w:ascii="宋体" w:hAnsi="宋体" w:eastAsia="宋体" w:cs="宋体"/>
          <w:bCs w:val="0"/>
          <w:color w:val="000000"/>
        </w:rPr>
      </w:pPr>
      <w:bookmarkStart w:id="56" w:name="_Toc118988187"/>
      <w:bookmarkStart w:id="57" w:name="_Toc96722248"/>
      <w:bookmarkStart w:id="58" w:name="_Toc42789422"/>
      <w:bookmarkStart w:id="59" w:name="_Toc85899709"/>
      <w:bookmarkStart w:id="60" w:name="_Toc102401513"/>
      <w:r>
        <w:rPr>
          <w:rFonts w:hint="eastAsia" w:ascii="宋体" w:hAnsi="宋体" w:eastAsia="宋体" w:cs="宋体"/>
          <w:bCs w:val="0"/>
          <w:color w:val="000000"/>
        </w:rPr>
        <w:t>（二）基本原则</w:t>
      </w:r>
      <w:bookmarkEnd w:id="56"/>
      <w:bookmarkEnd w:id="57"/>
      <w:bookmarkEnd w:id="58"/>
      <w:bookmarkEnd w:id="59"/>
      <w:bookmarkEnd w:id="60"/>
    </w:p>
    <w:p w14:paraId="2370E8B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先进性原则。在思想上、政治上、行动上</w:t>
      </w:r>
      <w:r>
        <w:rPr>
          <w:rFonts w:hint="eastAsia" w:ascii="仿宋_GB2312" w:eastAsia="仿宋_GB2312" w:cs="仿宋_GB2312"/>
          <w:color w:val="000000"/>
          <w:kern w:val="0"/>
          <w:sz w:val="32"/>
          <w:szCs w:val="32"/>
          <w:lang w:val="en-US" w:eastAsia="zh-CN"/>
        </w:rPr>
        <w:t>同</w:t>
      </w:r>
      <w:bookmarkStart w:id="235" w:name="_GoBack"/>
      <w:bookmarkEnd w:id="235"/>
      <w:r>
        <w:rPr>
          <w:rFonts w:hint="eastAsia" w:ascii="仿宋_GB2312" w:eastAsia="仿宋_GB2312" w:cs="仿宋_GB2312"/>
          <w:color w:val="000000"/>
          <w:kern w:val="0"/>
          <w:sz w:val="32"/>
          <w:szCs w:val="32"/>
        </w:rPr>
        <w:t>以习近平同志为核心的党中央保持高度一致，始终坚持社会主义先进文化前进方向，弘扬社会主义核心价值观，实现经济效益和社会效益的有机统一。深入学习贯彻习近平总书记系列重要讲话精神，认真贯彻中央、省、市提出的一系列推动文化、旅游、体育及广电事业繁荣的新政策、新观点、新举措、新要求，并转化为前进动力、发展思路和工作措施，把坚持正确导向贯穿到文旅体广工作的各个领域、各个环节，做到站位高、导向正，真正把党中央、国务院和省委、省政府以及市委、市政府对文旅体广工作的决策部署落到实处。</w:t>
      </w:r>
    </w:p>
    <w:p w14:paraId="460B9E0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人本性原则。牢固树立以人民为中心的工作导向，始终把满足人民群众日益增长的精神文化需求作为出发点和落脚点，着力保障和实现人民群众文化权益，实现服务贴近实际、贴近生活、贴近群众。充分发挥人民群众在文化、旅游、体育、广电建设中的重要作用，坚持文化旅游体育广电业发展为人民、依靠人民、成果由人民共享。同时，把服务群众同教育引导群众结合起来，把满足需求同提高素养结合起来，不断丰富人民精神世界，满足人民精神需求，增强人民精神动力，促进人的全面发展。</w:t>
      </w:r>
    </w:p>
    <w:p w14:paraId="5B30E2CC">
      <w:pPr>
        <w:snapToGrid w:val="0"/>
        <w:spacing w:line="540" w:lineRule="exact"/>
        <w:ind w:firstLine="643"/>
        <w:textAlignment w:val="baseline"/>
        <w:rPr>
          <w:rFonts w:ascii="仿宋_GB2312" w:eastAsia="仿宋_GB2312" w:cs="仿宋_GB2312"/>
          <w:color w:val="ED7D31"/>
          <w:kern w:val="0"/>
          <w:sz w:val="32"/>
          <w:szCs w:val="32"/>
        </w:rPr>
      </w:pPr>
      <w:r>
        <w:rPr>
          <w:rFonts w:hint="eastAsia" w:ascii="仿宋_GB2312" w:eastAsia="仿宋_GB2312" w:cs="仿宋_GB2312"/>
          <w:color w:val="000000"/>
          <w:kern w:val="0"/>
          <w:sz w:val="32"/>
          <w:szCs w:val="32"/>
        </w:rPr>
        <w:t>创新性原则。克服思维定式、行为惯性和路径依赖，着力破除制约文化、旅游、体育、广电事业科学发展的体制机制障碍。加强发展理念创新、工作机制创新、发展方式创新，提高创意能力，转变发展方式，创新服务内容和形式。进一步深化文旅体广体制改革，推进文旅行政部门职能转变。坚持创新引领，顺应数字化、网络化、智能化发展趋势，加快推进文化和旅游数字化、智慧化转型，坚持将科技创新作为驱动文化旅游发展的重要引擎和供给侧改革的重要动力。理顺文化市场综合执法管理体制，推动实现治理体系和治理能力的现代化。</w:t>
      </w:r>
    </w:p>
    <w:p w14:paraId="45CDF05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主体性原则。建立政府主导与全社会广泛参与相统一、多层次、多元化的行业产业发展管理体制，最大限度激发全社会参与文旅体广建设与服务的热情，引导民众在文化建设与旅游服务中的自我表现、自我教育和自我服务，激发与创造活力，提升现代文化旅游公共服务体系的内生动力。引入市场机制，激发各类社会主体参与文化旅游体育广电事业建设的积极性，尤其需要发挥文化旅游企业的市场主体地位，促进文旅体广市场的繁荣，增强发展活力，形成共建共享格局。</w:t>
      </w:r>
    </w:p>
    <w:p w14:paraId="4F23D33A">
      <w:pPr>
        <w:spacing w:line="560" w:lineRule="exact"/>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融合性原则。全面贯彻文旅体广融合发展的理念，坚持“宜融则融、能融则融”的发展思路。尊重文化、旅游、广电、体育的发展规律及客观差异，找准文旅体广融合发展的切入点。立足公共服务体系、产品体系、项目建设、主题活动、市场监管、交流推广等多个方面需求，完善文化和旅游、体育、广电融合发展的体制机制，实现更广范围、更高水平的融合发展。推进文旅体广相互融合、推进文旅体广业与其他产业的融合，进一步解放和发展文化旅游生产力，以改革创新促发展、促繁荣。</w:t>
      </w:r>
    </w:p>
    <w:p w14:paraId="05101CA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生态性原则。正确处理生态保护和文化、旅游、体育及广电发展的关系。坚持生态优先、绿色发展，发挥好蓝色江湖、绿色生态、红色历史、多彩民俗的资源特色，在打造鄂州特色产品、特色服务的基础上，严守生态保护红线、环境质量底线、资源利用上线，助力国家生态文明建设示范区建设。</w:t>
      </w:r>
    </w:p>
    <w:p w14:paraId="36145E43">
      <w:pPr>
        <w:pStyle w:val="5"/>
        <w:spacing w:before="0" w:after="0" w:line="240" w:lineRule="auto"/>
        <w:ind w:firstLine="630" w:firstLineChars="196"/>
        <w:rPr>
          <w:rFonts w:ascii="宋体" w:hAnsi="宋体" w:eastAsia="宋体" w:cs="宋体"/>
          <w:bCs w:val="0"/>
          <w:color w:val="000000"/>
        </w:rPr>
      </w:pPr>
      <w:bookmarkStart w:id="61" w:name="_Toc118988188"/>
      <w:bookmarkStart w:id="62" w:name="_Toc96722249"/>
      <w:bookmarkStart w:id="63" w:name="_Toc42789423"/>
      <w:bookmarkStart w:id="64" w:name="_Toc85899710"/>
      <w:bookmarkStart w:id="65" w:name="_Toc102401514"/>
      <w:r>
        <w:rPr>
          <w:rFonts w:hint="eastAsia" w:ascii="宋体" w:hAnsi="宋体" w:eastAsia="宋体" w:cs="宋体"/>
          <w:bCs w:val="0"/>
          <w:color w:val="000000"/>
        </w:rPr>
        <w:t>（三）总体目标</w:t>
      </w:r>
      <w:bookmarkEnd w:id="61"/>
      <w:bookmarkEnd w:id="62"/>
      <w:bookmarkEnd w:id="63"/>
      <w:bookmarkEnd w:id="64"/>
      <w:bookmarkEnd w:id="65"/>
    </w:p>
    <w:p w14:paraId="76B088B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深入贯彻党的十九大、二十大精神，</w:t>
      </w:r>
      <w:r>
        <w:rPr>
          <w:rFonts w:hint="eastAsia" w:ascii="仿宋_GB2312" w:hAnsi="仿宋_GB2312" w:eastAsia="仿宋_GB2312" w:cs="仿宋_GB2312"/>
          <w:sz w:val="32"/>
          <w:szCs w:val="32"/>
        </w:rPr>
        <w:t>推进文化自信自强，铸就社会主义文化新辉煌。</w:t>
      </w:r>
      <w:r>
        <w:rPr>
          <w:rFonts w:hint="eastAsia" w:ascii="仿宋_GB2312" w:eastAsia="仿宋_GB2312" w:cs="仿宋_GB2312"/>
          <w:color w:val="000000"/>
          <w:kern w:val="0"/>
          <w:sz w:val="32"/>
          <w:szCs w:val="32"/>
        </w:rPr>
        <w:t>推动鄂州文化、旅游、体育、广电融合创新发展，到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文旅体广业的融合广度与深度进一步加强，基本建成政府主导、市场主体与社会各方力量共同参与的文旅体广业发展新格局。新时代文化艺术生产体系、历史文物和文化遗产保护传承利用体系、现代公共文化体育服务体系、现代文化旅游产业体系、文化市场综合监管体系日益健全优化，文化铸魂、文化赋能全面凸显，城市文化软实力不断提升。文化、旅游、体育、广电业在推动全市经济社会发展和建设“两区一枢纽”中的作用更加凸显，成为支持建设“武汉城市圈同城化核心区”的强大力量。</w:t>
      </w:r>
    </w:p>
    <w:p w14:paraId="234B10EF">
      <w:pPr>
        <w:pStyle w:val="5"/>
        <w:spacing w:before="0" w:after="0" w:line="240" w:lineRule="auto"/>
        <w:ind w:firstLine="630" w:firstLineChars="196"/>
        <w:rPr>
          <w:rFonts w:ascii="宋体" w:hAnsi="宋体" w:eastAsia="宋体" w:cs="宋体"/>
          <w:bCs w:val="0"/>
          <w:color w:val="000000"/>
        </w:rPr>
      </w:pPr>
      <w:bookmarkStart w:id="66" w:name="_Toc102401515"/>
      <w:bookmarkStart w:id="67" w:name="_Toc85899711"/>
      <w:bookmarkStart w:id="68" w:name="_Toc118988189"/>
      <w:bookmarkStart w:id="69" w:name="_Toc96722250"/>
      <w:r>
        <w:rPr>
          <w:rFonts w:hint="eastAsia" w:ascii="宋体" w:hAnsi="宋体" w:eastAsia="宋体" w:cs="宋体"/>
          <w:bCs w:val="0"/>
          <w:color w:val="000000"/>
        </w:rPr>
        <w:t>（四）分项目标</w:t>
      </w:r>
      <w:bookmarkEnd w:id="66"/>
      <w:bookmarkEnd w:id="67"/>
      <w:bookmarkEnd w:id="68"/>
      <w:bookmarkEnd w:id="69"/>
    </w:p>
    <w:p w14:paraId="0C025BB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年的努力，全面形成网络完善、供给丰富、布局合理、服务高效的公共文化服务体系。到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年，区级“三馆一场”覆盖率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，乡镇文体场馆达标率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，省级文化产业示范基地不少于</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文化业态更加丰富，文化市场管理机制不断创新，形成统一、开放、竞争、有序的文化市场体系。全市非物质文化遗产保护工作队伍更加健全，综合能力素质明显提高，非物质文化遗产保护工作整体水平位居全省前列。</w:t>
      </w:r>
    </w:p>
    <w:p w14:paraId="23424B8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年的努力，以打造长江国家文化公园的重要节点为主线，建成一批精品旅游景区，开发一批独具特色的旅游产品，</w:t>
      </w:r>
      <w:r>
        <w:rPr>
          <w:rFonts w:hint="eastAsia" w:ascii="仿宋_GB2312" w:hAnsi="仿宋_GB2312" w:eastAsia="仿宋_GB2312" w:cs="仿宋_GB2312"/>
          <w:sz w:val="32"/>
          <w:szCs w:val="32"/>
        </w:rPr>
        <w:t>大力发展航空旅游，</w:t>
      </w:r>
      <w:r>
        <w:rPr>
          <w:rFonts w:hint="eastAsia" w:ascii="仿宋_GB2312" w:eastAsia="仿宋_GB2312" w:cs="仿宋_GB2312"/>
          <w:color w:val="000000"/>
          <w:kern w:val="0"/>
          <w:sz w:val="32"/>
          <w:szCs w:val="32"/>
        </w:rPr>
        <w:t>“空港新城·山水鄂州”的旅游形象更加稳固。到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年，全市接待国内外游客量达</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亿元。争创国家生态文明建设示范区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级旅游景区不少于</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个，荆楚文旅名县</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个，省级全域旅游示范区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个以上，湖北省旅游名镇</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个、湖北省旅游名村</w:t>
      </w:r>
      <w:r>
        <w:rPr>
          <w:rFonts w:ascii="仿宋_GB2312" w:eastAsia="仿宋_GB2312" w:cs="仿宋_GB2312"/>
          <w:color w:val="000000"/>
          <w:kern w:val="0"/>
          <w:sz w:val="32"/>
          <w:szCs w:val="32"/>
        </w:rPr>
        <w:t>6</w:t>
      </w:r>
      <w:r>
        <w:rPr>
          <w:rFonts w:hint="eastAsia" w:ascii="仿宋_GB2312" w:eastAsia="仿宋_GB2312" w:cs="仿宋_GB2312"/>
          <w:color w:val="000000"/>
          <w:kern w:val="0"/>
          <w:sz w:val="32"/>
          <w:szCs w:val="32"/>
        </w:rPr>
        <w:t>个、湖北省休闲农业示范点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个、市级特色旅游村</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个、市级农旅融合示范景区</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大力强化景区休闲度假功能，大力提升景区基础设施条件，大力完善旅游配套设施建设。行业经营管理更加规范有序，基本建成较高水平的旅游服务体系。不断完善旅游产业链条，催生一批新的旅游业态，促进鄂州经济、社会、生态效益同步提高。</w:t>
      </w:r>
    </w:p>
    <w:p w14:paraId="4777CE3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基本形成群众体育、竞技体育、体育产业“三位一体”协同发展的良好态势。公共体育服务能力和水平进一步提高，社会力量参与群众体育的力度进一步增大，形成一批具有较强社会影响力的全民健身品牌项目。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年实现人均体育场地面积</w:t>
      </w:r>
      <w:r>
        <w:rPr>
          <w:rFonts w:ascii="仿宋_GB2312" w:eastAsia="仿宋_GB2312" w:cs="仿宋_GB2312"/>
          <w:color w:val="000000"/>
          <w:kern w:val="0"/>
          <w:sz w:val="32"/>
          <w:szCs w:val="32"/>
        </w:rPr>
        <w:t>3.9</w:t>
      </w:r>
      <w:r>
        <w:rPr>
          <w:rFonts w:hint="eastAsia" w:ascii="仿宋_GB2312" w:eastAsia="仿宋_GB2312" w:cs="仿宋_GB2312"/>
          <w:color w:val="000000"/>
          <w:kern w:val="0"/>
          <w:sz w:val="32"/>
          <w:szCs w:val="32"/>
        </w:rPr>
        <w:t>平方米，经常参加体育锻炼人口比例</w:t>
      </w:r>
      <w:r>
        <w:rPr>
          <w:rFonts w:ascii="仿宋_GB2312" w:eastAsia="仿宋_GB2312" w:cs="仿宋_GB2312"/>
          <w:color w:val="000000"/>
          <w:kern w:val="0"/>
          <w:sz w:val="32"/>
          <w:szCs w:val="32"/>
        </w:rPr>
        <w:t>38.50%</w:t>
      </w:r>
      <w:r>
        <w:rPr>
          <w:rFonts w:hint="eastAsia" w:ascii="仿宋_GB2312" w:eastAsia="仿宋_GB2312" w:cs="仿宋_GB2312"/>
          <w:color w:val="000000"/>
          <w:kern w:val="0"/>
          <w:sz w:val="32"/>
          <w:szCs w:val="32"/>
        </w:rPr>
        <w:t>，国家级社会体育指导员人数</w:t>
      </w:r>
      <w:r>
        <w:rPr>
          <w:rFonts w:ascii="仿宋_GB2312" w:eastAsia="仿宋_GB2312" w:cs="仿宋_GB2312"/>
          <w:color w:val="000000"/>
          <w:kern w:val="0"/>
          <w:sz w:val="32"/>
          <w:szCs w:val="32"/>
        </w:rPr>
        <w:t>35</w:t>
      </w:r>
      <w:r>
        <w:rPr>
          <w:rFonts w:hint="eastAsia" w:ascii="仿宋_GB2312" w:eastAsia="仿宋_GB2312" w:cs="仿宋_GB2312"/>
          <w:color w:val="000000"/>
          <w:kern w:val="0"/>
          <w:sz w:val="32"/>
          <w:szCs w:val="32"/>
        </w:rPr>
        <w:t>人，体育产业增加值占</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比重达到</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，竞技体育竞争力和可持续发展能力进一步增强。</w:t>
      </w:r>
    </w:p>
    <w:p w14:paraId="32844EE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广电目标。通过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年的努力，广电宣传工作进一步改进</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舆论引导能力显著提高，广电作品创作生产更加繁荣，质量更加精良。广电网络整合、升级改造步伐加快，广电</w:t>
      </w:r>
      <w:r>
        <w:rPr>
          <w:rFonts w:ascii="仿宋_GB2312" w:eastAsia="仿宋_GB2312" w:cs="仿宋_GB2312"/>
          <w:color w:val="000000"/>
          <w:kern w:val="0"/>
          <w:sz w:val="32"/>
          <w:szCs w:val="32"/>
        </w:rPr>
        <w:t>5G</w:t>
      </w:r>
      <w:r>
        <w:rPr>
          <w:rFonts w:hint="eastAsia" w:ascii="仿宋_GB2312" w:eastAsia="仿宋_GB2312" w:cs="仿宋_GB2312"/>
          <w:color w:val="000000"/>
          <w:kern w:val="0"/>
          <w:sz w:val="32"/>
          <w:szCs w:val="32"/>
        </w:rPr>
        <w:t>网络和智慧广电建设取得重要成果，不断满足政用、民用、商用多样性多层次的视听需求和信息需求。地面数字电视</w:t>
      </w:r>
      <w:r>
        <w:rPr>
          <w:rFonts w:ascii="仿宋_GB2312" w:eastAsia="仿宋_GB2312" w:cs="仿宋_GB2312"/>
          <w:color w:val="000000"/>
          <w:kern w:val="0"/>
          <w:sz w:val="32"/>
          <w:szCs w:val="32"/>
        </w:rPr>
        <w:t>700</w:t>
      </w:r>
      <w:r>
        <w:rPr>
          <w:rFonts w:hint="eastAsia" w:ascii="仿宋_GB2312" w:eastAsia="仿宋_GB2312" w:cs="仿宋_GB2312"/>
          <w:color w:val="000000"/>
          <w:kern w:val="0"/>
          <w:sz w:val="32"/>
          <w:szCs w:val="32"/>
        </w:rPr>
        <w:t>兆赫频率迁移完成率达到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，市级电视台高清化改造完成率达到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。广播电视和网络视听产业整体实力、综合效益和市场竞争力不断增强。广电现代监管体系建设更加完善，内容及播出更加安全，广播电视主流媒体阵地进一步巩固。</w:t>
      </w:r>
    </w:p>
    <w:p w14:paraId="0F48A0EB">
      <w:pPr>
        <w:pStyle w:val="2"/>
      </w:pPr>
    </w:p>
    <w:p w14:paraId="1053CEA2">
      <w:pPr>
        <w:widowControl/>
        <w:jc w:val="center"/>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表</w:t>
      </w:r>
      <w:r>
        <w:rPr>
          <w:rFonts w:ascii="仿宋_GB2312" w:hAnsi="宋体" w:eastAsia="仿宋_GB2312" w:cs="宋体"/>
          <w:color w:val="000000"/>
          <w:kern w:val="0"/>
          <w:sz w:val="30"/>
          <w:szCs w:val="30"/>
        </w:rPr>
        <w:t xml:space="preserve">2-1 </w:t>
      </w:r>
      <w:r>
        <w:rPr>
          <w:rFonts w:hint="eastAsia" w:ascii="仿宋_GB2312" w:hAnsi="宋体" w:eastAsia="仿宋_GB2312" w:cs="宋体"/>
          <w:color w:val="000000"/>
          <w:kern w:val="0"/>
          <w:sz w:val="30"/>
          <w:szCs w:val="30"/>
        </w:rPr>
        <w:t>“十四五”时期文化旅游体育广电业发展重点指标</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1"/>
        <w:gridCol w:w="4320"/>
        <w:gridCol w:w="1260"/>
        <w:gridCol w:w="1260"/>
        <w:gridCol w:w="941"/>
      </w:tblGrid>
      <w:tr w14:paraId="7D0C9E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7" w:hRule="atLeast"/>
          <w:tblHeader/>
          <w:jc w:val="center"/>
        </w:trPr>
        <w:tc>
          <w:tcPr>
            <w:tcW w:w="741" w:type="dxa"/>
            <w:vAlign w:val="center"/>
          </w:tcPr>
          <w:p w14:paraId="3CEA5F2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序号</w:t>
            </w:r>
          </w:p>
        </w:tc>
        <w:tc>
          <w:tcPr>
            <w:tcW w:w="4320" w:type="dxa"/>
            <w:vAlign w:val="center"/>
          </w:tcPr>
          <w:p w14:paraId="4B132126">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指标名称</w:t>
            </w:r>
          </w:p>
        </w:tc>
        <w:tc>
          <w:tcPr>
            <w:tcW w:w="1260" w:type="dxa"/>
            <w:vAlign w:val="center"/>
          </w:tcPr>
          <w:p w14:paraId="333EF9B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2020</w:t>
            </w:r>
            <w:r>
              <w:rPr>
                <w:rFonts w:hint="eastAsia" w:ascii="仿宋_GB2312" w:hAnsi="宋体" w:eastAsia="仿宋_GB2312" w:cs="宋体"/>
                <w:color w:val="000000"/>
                <w:kern w:val="0"/>
                <w:sz w:val="24"/>
              </w:rPr>
              <w:t>年（基数值）</w:t>
            </w:r>
          </w:p>
        </w:tc>
        <w:tc>
          <w:tcPr>
            <w:tcW w:w="1260" w:type="dxa"/>
            <w:vAlign w:val="center"/>
          </w:tcPr>
          <w:p w14:paraId="4E74985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2025</w:t>
            </w:r>
          </w:p>
          <w:p w14:paraId="5BA691B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（目标值）</w:t>
            </w:r>
          </w:p>
        </w:tc>
        <w:tc>
          <w:tcPr>
            <w:tcW w:w="941" w:type="dxa"/>
            <w:vAlign w:val="center"/>
          </w:tcPr>
          <w:p w14:paraId="0DD0BD2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w:t>
            </w:r>
          </w:p>
          <w:p w14:paraId="62801E85">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属性</w:t>
            </w:r>
          </w:p>
        </w:tc>
      </w:tr>
      <w:tr w14:paraId="2B9050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5A8B354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文化指标</w:t>
            </w:r>
          </w:p>
        </w:tc>
      </w:tr>
      <w:tr w14:paraId="5D969D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1A9F492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03DE92D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区级“三馆一场”覆盖率</w:t>
            </w:r>
          </w:p>
        </w:tc>
        <w:tc>
          <w:tcPr>
            <w:tcW w:w="1260" w:type="dxa"/>
            <w:vAlign w:val="center"/>
          </w:tcPr>
          <w:p w14:paraId="367F113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33%</w:t>
            </w:r>
          </w:p>
        </w:tc>
        <w:tc>
          <w:tcPr>
            <w:tcW w:w="1260" w:type="dxa"/>
            <w:vAlign w:val="center"/>
          </w:tcPr>
          <w:p w14:paraId="40AC111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45608F59">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6C4FC0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DD2A2B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4BE0AC7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乡镇文体场馆达标率</w:t>
            </w:r>
          </w:p>
        </w:tc>
        <w:tc>
          <w:tcPr>
            <w:tcW w:w="1260" w:type="dxa"/>
            <w:vAlign w:val="center"/>
          </w:tcPr>
          <w:p w14:paraId="547EAC6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81%</w:t>
            </w:r>
          </w:p>
        </w:tc>
        <w:tc>
          <w:tcPr>
            <w:tcW w:w="1260" w:type="dxa"/>
            <w:vAlign w:val="center"/>
          </w:tcPr>
          <w:p w14:paraId="6BB66F0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1AA0EDD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35C43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14E1E15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56633C9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湖北省“五个一工程</w:t>
            </w:r>
            <w:r>
              <w:rPr>
                <w:rFonts w:hint="eastAsia" w:ascii="仿宋_GB2312" w:hAnsi="宋体" w:eastAsia="仿宋_GB2312" w:cs="宋体"/>
                <w:color w:val="000000"/>
                <w:kern w:val="0"/>
                <w:sz w:val="24"/>
                <w:lang w:eastAsia="zh-CN"/>
              </w:rPr>
              <w:t>”</w:t>
            </w:r>
            <w:r>
              <w:rPr>
                <w:rFonts w:hint="eastAsia" w:ascii="仿宋_GB2312" w:hAnsi="宋体" w:eastAsia="仿宋_GB2312" w:cs="宋体"/>
                <w:color w:val="000000"/>
                <w:kern w:val="0"/>
                <w:sz w:val="24"/>
              </w:rPr>
              <w:t>奖</w:t>
            </w:r>
          </w:p>
        </w:tc>
        <w:tc>
          <w:tcPr>
            <w:tcW w:w="1260" w:type="dxa"/>
            <w:vAlign w:val="center"/>
          </w:tcPr>
          <w:p w14:paraId="29BA383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43C5A86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2311AE9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55E23E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 w:hRule="atLeast"/>
          <w:jc w:val="center"/>
        </w:trPr>
        <w:tc>
          <w:tcPr>
            <w:tcW w:w="741" w:type="dxa"/>
            <w:vAlign w:val="center"/>
          </w:tcPr>
          <w:p w14:paraId="06469DE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784355C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新增考古发掘、文物保护、博物馆、学术研究、传播出版等省级奖项</w:t>
            </w:r>
          </w:p>
        </w:tc>
        <w:tc>
          <w:tcPr>
            <w:tcW w:w="1260" w:type="dxa"/>
            <w:vAlign w:val="center"/>
          </w:tcPr>
          <w:p w14:paraId="3C0AA0F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617FC3B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6A74C4E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2855B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FC89D1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14:paraId="32D870F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省级文化产业示范基地（个）</w:t>
            </w:r>
          </w:p>
        </w:tc>
        <w:tc>
          <w:tcPr>
            <w:tcW w:w="1260" w:type="dxa"/>
            <w:vAlign w:val="center"/>
          </w:tcPr>
          <w:p w14:paraId="553937E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14:paraId="14CC7FFA">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5</w:t>
            </w:r>
          </w:p>
        </w:tc>
        <w:tc>
          <w:tcPr>
            <w:tcW w:w="941" w:type="dxa"/>
            <w:vAlign w:val="center"/>
          </w:tcPr>
          <w:p w14:paraId="0BB74BC5">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4025A1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531B2C4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14:paraId="0E2CD20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重大文物险情排除率</w:t>
            </w:r>
          </w:p>
        </w:tc>
        <w:tc>
          <w:tcPr>
            <w:tcW w:w="1260" w:type="dxa"/>
            <w:vAlign w:val="center"/>
          </w:tcPr>
          <w:p w14:paraId="6D195CC5">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1260" w:type="dxa"/>
            <w:vAlign w:val="center"/>
          </w:tcPr>
          <w:p w14:paraId="44993D7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1C9FBB2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1B3EE1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5A6046F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旅游指标</w:t>
            </w:r>
          </w:p>
        </w:tc>
      </w:tr>
      <w:tr w14:paraId="4E1ADE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7909AB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6FA1B0E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接待国内外游客数（万人次）</w:t>
            </w:r>
          </w:p>
        </w:tc>
        <w:tc>
          <w:tcPr>
            <w:tcW w:w="1260" w:type="dxa"/>
            <w:vAlign w:val="center"/>
          </w:tcPr>
          <w:p w14:paraId="524B9A2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490.39</w:t>
            </w:r>
          </w:p>
        </w:tc>
        <w:tc>
          <w:tcPr>
            <w:tcW w:w="1260" w:type="dxa"/>
            <w:vAlign w:val="center"/>
          </w:tcPr>
          <w:p w14:paraId="5598486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14:paraId="66EE86F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353AFB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9EE212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4BCF2EC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旅游总收入（亿元）</w:t>
            </w:r>
          </w:p>
        </w:tc>
        <w:tc>
          <w:tcPr>
            <w:tcW w:w="1260" w:type="dxa"/>
            <w:vAlign w:val="center"/>
          </w:tcPr>
          <w:p w14:paraId="0ADD092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29</w:t>
            </w:r>
          </w:p>
        </w:tc>
        <w:tc>
          <w:tcPr>
            <w:tcW w:w="1260" w:type="dxa"/>
            <w:vAlign w:val="center"/>
          </w:tcPr>
          <w:p w14:paraId="2F16EB6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14:paraId="442FAD7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00AE2B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D7F18E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1DE5F8A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旅游产业增加值占</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14:paraId="5138CE0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2.88%</w:t>
            </w:r>
          </w:p>
        </w:tc>
        <w:tc>
          <w:tcPr>
            <w:tcW w:w="1260" w:type="dxa"/>
            <w:vAlign w:val="center"/>
          </w:tcPr>
          <w:p w14:paraId="72BA5BC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14:paraId="6F15A58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1CF528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83663B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507F823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国内游客人均停留天数</w:t>
            </w:r>
          </w:p>
        </w:tc>
        <w:tc>
          <w:tcPr>
            <w:tcW w:w="1260" w:type="dxa"/>
            <w:vAlign w:val="center"/>
          </w:tcPr>
          <w:p w14:paraId="194DE5B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1260" w:type="dxa"/>
            <w:vAlign w:val="center"/>
          </w:tcPr>
          <w:p w14:paraId="28916FE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55A2C6C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58F73D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0C3165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14:paraId="5B11C97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旅游人均消费（元）</w:t>
            </w:r>
          </w:p>
        </w:tc>
        <w:tc>
          <w:tcPr>
            <w:tcW w:w="1260" w:type="dxa"/>
            <w:vAlign w:val="center"/>
          </w:tcPr>
          <w:p w14:paraId="3176A40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830</w:t>
            </w:r>
          </w:p>
        </w:tc>
        <w:tc>
          <w:tcPr>
            <w:tcW w:w="1260" w:type="dxa"/>
            <w:vAlign w:val="center"/>
          </w:tcPr>
          <w:p w14:paraId="54C42F6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1000</w:t>
            </w:r>
          </w:p>
        </w:tc>
        <w:tc>
          <w:tcPr>
            <w:tcW w:w="941" w:type="dxa"/>
            <w:vAlign w:val="center"/>
          </w:tcPr>
          <w:p w14:paraId="7A06D71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472B7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91575C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14:paraId="7E861B9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4A</w:t>
            </w:r>
            <w:r>
              <w:rPr>
                <w:rFonts w:hint="eastAsia" w:ascii="仿宋_GB2312" w:hAnsi="宋体" w:eastAsia="仿宋_GB2312" w:cs="宋体"/>
                <w:color w:val="000000"/>
                <w:kern w:val="0"/>
                <w:sz w:val="24"/>
              </w:rPr>
              <w:t>级旅游景区（个）</w:t>
            </w:r>
          </w:p>
        </w:tc>
        <w:tc>
          <w:tcPr>
            <w:tcW w:w="1260" w:type="dxa"/>
            <w:vAlign w:val="center"/>
          </w:tcPr>
          <w:p w14:paraId="01DFCE8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14:paraId="0CD1291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w:t>
            </w:r>
          </w:p>
        </w:tc>
        <w:tc>
          <w:tcPr>
            <w:tcW w:w="941" w:type="dxa"/>
            <w:vAlign w:val="center"/>
          </w:tcPr>
          <w:p w14:paraId="256E442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0726D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5B07D6F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7</w:t>
            </w:r>
          </w:p>
        </w:tc>
        <w:tc>
          <w:tcPr>
            <w:tcW w:w="4320" w:type="dxa"/>
            <w:vAlign w:val="center"/>
          </w:tcPr>
          <w:p w14:paraId="3634B7E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国家生态文明建设示范区</w:t>
            </w:r>
          </w:p>
        </w:tc>
        <w:tc>
          <w:tcPr>
            <w:tcW w:w="1260" w:type="dxa"/>
            <w:vAlign w:val="center"/>
          </w:tcPr>
          <w:p w14:paraId="5D719A3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4DD7CCA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2E95840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38AC62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1B43EFD5">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w:t>
            </w:r>
          </w:p>
        </w:tc>
        <w:tc>
          <w:tcPr>
            <w:tcW w:w="4320" w:type="dxa"/>
            <w:vAlign w:val="center"/>
          </w:tcPr>
          <w:p w14:paraId="57D523D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荆楚文旅名县</w:t>
            </w:r>
          </w:p>
        </w:tc>
        <w:tc>
          <w:tcPr>
            <w:tcW w:w="1260" w:type="dxa"/>
            <w:vAlign w:val="center"/>
          </w:tcPr>
          <w:p w14:paraId="5288442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3E0FE786">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14:paraId="3360B21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621524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266ABCD3">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9</w:t>
            </w:r>
          </w:p>
        </w:tc>
        <w:tc>
          <w:tcPr>
            <w:tcW w:w="4320" w:type="dxa"/>
            <w:vAlign w:val="center"/>
          </w:tcPr>
          <w:p w14:paraId="2C58A9B1">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省级全域旅游示范区</w:t>
            </w:r>
          </w:p>
        </w:tc>
        <w:tc>
          <w:tcPr>
            <w:tcW w:w="1260" w:type="dxa"/>
            <w:vAlign w:val="center"/>
          </w:tcPr>
          <w:p w14:paraId="27C7E6EF">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614389E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1</w:t>
            </w:r>
          </w:p>
        </w:tc>
        <w:tc>
          <w:tcPr>
            <w:tcW w:w="941" w:type="dxa"/>
            <w:vAlign w:val="center"/>
          </w:tcPr>
          <w:p w14:paraId="1442206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3FEAA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976B87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4320" w:type="dxa"/>
            <w:vAlign w:val="center"/>
          </w:tcPr>
          <w:p w14:paraId="4021832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湖北省旅游名镇（个）</w:t>
            </w:r>
          </w:p>
        </w:tc>
        <w:tc>
          <w:tcPr>
            <w:tcW w:w="1260" w:type="dxa"/>
            <w:vAlign w:val="center"/>
          </w:tcPr>
          <w:p w14:paraId="665668C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14:paraId="17AD2645">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5974616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9930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0B9CFFC">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11</w:t>
            </w:r>
          </w:p>
        </w:tc>
        <w:tc>
          <w:tcPr>
            <w:tcW w:w="4320" w:type="dxa"/>
            <w:vAlign w:val="center"/>
          </w:tcPr>
          <w:p w14:paraId="065AC34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湖北省旅游名村（个）</w:t>
            </w:r>
          </w:p>
        </w:tc>
        <w:tc>
          <w:tcPr>
            <w:tcW w:w="1260" w:type="dxa"/>
            <w:vAlign w:val="center"/>
          </w:tcPr>
          <w:p w14:paraId="190DD294">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1260" w:type="dxa"/>
            <w:vAlign w:val="center"/>
          </w:tcPr>
          <w:p w14:paraId="2472013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941" w:type="dxa"/>
            <w:vAlign w:val="center"/>
          </w:tcPr>
          <w:p w14:paraId="7593FA4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2A2141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7A03F7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12</w:t>
            </w:r>
          </w:p>
        </w:tc>
        <w:tc>
          <w:tcPr>
            <w:tcW w:w="4320" w:type="dxa"/>
            <w:vAlign w:val="center"/>
          </w:tcPr>
          <w:p w14:paraId="3849118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湖北省休闲农业示范点（个）</w:t>
            </w:r>
          </w:p>
        </w:tc>
        <w:tc>
          <w:tcPr>
            <w:tcW w:w="1260" w:type="dxa"/>
            <w:vAlign w:val="center"/>
          </w:tcPr>
          <w:p w14:paraId="34CA620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14:paraId="495EC15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14:paraId="60E0661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542154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0A8DD96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4320" w:type="dxa"/>
            <w:vAlign w:val="center"/>
          </w:tcPr>
          <w:p w14:paraId="60B426D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市级特色旅游村</w:t>
            </w:r>
          </w:p>
        </w:tc>
        <w:tc>
          <w:tcPr>
            <w:tcW w:w="1260" w:type="dxa"/>
            <w:vAlign w:val="center"/>
          </w:tcPr>
          <w:p w14:paraId="5021E29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1A9B06E7">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14:paraId="423B52E1">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0C0EF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081DD5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14</w:t>
            </w:r>
          </w:p>
        </w:tc>
        <w:tc>
          <w:tcPr>
            <w:tcW w:w="4320" w:type="dxa"/>
            <w:vAlign w:val="center"/>
          </w:tcPr>
          <w:p w14:paraId="1AF80A4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市级农旅融合示范景区</w:t>
            </w:r>
          </w:p>
        </w:tc>
        <w:tc>
          <w:tcPr>
            <w:tcW w:w="1260" w:type="dxa"/>
            <w:vAlign w:val="center"/>
          </w:tcPr>
          <w:p w14:paraId="32CA745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23EE261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14:paraId="3C38B407">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1F3812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5FD75FC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体育指标</w:t>
            </w:r>
          </w:p>
        </w:tc>
      </w:tr>
      <w:tr w14:paraId="5C2869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D356E6B">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0490168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体育产业增加值占全市</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14:paraId="5EB6883A">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w:t>
            </w:r>
          </w:p>
        </w:tc>
        <w:tc>
          <w:tcPr>
            <w:tcW w:w="1260" w:type="dxa"/>
            <w:vAlign w:val="center"/>
          </w:tcPr>
          <w:p w14:paraId="156B03C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14:paraId="1908C49C">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376B2C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387A444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35C67AF4">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经常参加体育锻炼人口比例（</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w:t>
            </w:r>
          </w:p>
        </w:tc>
        <w:tc>
          <w:tcPr>
            <w:tcW w:w="1260" w:type="dxa"/>
            <w:vAlign w:val="center"/>
          </w:tcPr>
          <w:p w14:paraId="11F812C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14:paraId="6C1561E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38.50%</w:t>
            </w:r>
          </w:p>
        </w:tc>
        <w:tc>
          <w:tcPr>
            <w:tcW w:w="941" w:type="dxa"/>
            <w:vAlign w:val="center"/>
          </w:tcPr>
          <w:p w14:paraId="0C571545">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6C5278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6283C6A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14:paraId="04DE7F18">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人均体育场地面积（平米）</w:t>
            </w:r>
          </w:p>
        </w:tc>
        <w:tc>
          <w:tcPr>
            <w:tcW w:w="1260" w:type="dxa"/>
            <w:vAlign w:val="center"/>
          </w:tcPr>
          <w:p w14:paraId="3744D6A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14:paraId="2F0A23A8">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3.9</w:t>
            </w:r>
          </w:p>
        </w:tc>
        <w:tc>
          <w:tcPr>
            <w:tcW w:w="941" w:type="dxa"/>
            <w:vAlign w:val="center"/>
          </w:tcPr>
          <w:p w14:paraId="3FC8CD41">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21770F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7BA0192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14:paraId="40610E83">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国家级社会体育指导员人数</w:t>
            </w:r>
          </w:p>
        </w:tc>
        <w:tc>
          <w:tcPr>
            <w:tcW w:w="1260" w:type="dxa"/>
            <w:vAlign w:val="center"/>
          </w:tcPr>
          <w:p w14:paraId="2BE08C51">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25</w:t>
            </w:r>
          </w:p>
        </w:tc>
        <w:tc>
          <w:tcPr>
            <w:tcW w:w="1260" w:type="dxa"/>
            <w:vAlign w:val="center"/>
          </w:tcPr>
          <w:p w14:paraId="2FB702E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35</w:t>
            </w:r>
          </w:p>
        </w:tc>
        <w:tc>
          <w:tcPr>
            <w:tcW w:w="941" w:type="dxa"/>
            <w:vAlign w:val="center"/>
          </w:tcPr>
          <w:p w14:paraId="0712032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14:paraId="2879D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14:paraId="5B032692">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广电指标</w:t>
            </w:r>
          </w:p>
        </w:tc>
      </w:tr>
      <w:tr w14:paraId="16885B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49FE656E">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14:paraId="28E186EE">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地面数字电视</w:t>
            </w:r>
            <w:r>
              <w:rPr>
                <w:rFonts w:ascii="仿宋_GB2312" w:hAnsi="宋体" w:eastAsia="仿宋_GB2312" w:cs="宋体"/>
                <w:color w:val="000000"/>
                <w:kern w:val="0"/>
                <w:sz w:val="24"/>
              </w:rPr>
              <w:t>700</w:t>
            </w:r>
            <w:r>
              <w:rPr>
                <w:rFonts w:hint="eastAsia" w:ascii="仿宋_GB2312" w:hAnsi="宋体" w:eastAsia="仿宋_GB2312" w:cs="宋体"/>
                <w:color w:val="000000"/>
                <w:kern w:val="0"/>
                <w:sz w:val="24"/>
              </w:rPr>
              <w:t>兆赫频率迁移完成率</w:t>
            </w:r>
          </w:p>
        </w:tc>
        <w:tc>
          <w:tcPr>
            <w:tcW w:w="1260" w:type="dxa"/>
            <w:vAlign w:val="center"/>
          </w:tcPr>
          <w:p w14:paraId="4448767D">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1D00C19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7C460C7B">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14:paraId="514D8F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14:paraId="11A0E959">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14:paraId="0B373130">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市级电视台高清化改造完成率</w:t>
            </w:r>
          </w:p>
        </w:tc>
        <w:tc>
          <w:tcPr>
            <w:tcW w:w="1260" w:type="dxa"/>
            <w:vAlign w:val="center"/>
          </w:tcPr>
          <w:p w14:paraId="72C9CB30">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14:paraId="66FAA0B2">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14:paraId="3FC93C5F">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bl>
    <w:p w14:paraId="63F1B07A">
      <w:pPr>
        <w:spacing w:line="560" w:lineRule="exact"/>
        <w:rPr>
          <w:rFonts w:ascii="宋体" w:cs="宋体"/>
          <w:bCs/>
          <w:color w:val="000000"/>
        </w:rPr>
      </w:pPr>
    </w:p>
    <w:p w14:paraId="176A26BD">
      <w:pPr>
        <w:pStyle w:val="5"/>
        <w:spacing w:before="0" w:after="0" w:line="240" w:lineRule="auto"/>
        <w:ind w:firstLine="630" w:firstLineChars="196"/>
        <w:rPr>
          <w:rFonts w:ascii="宋体" w:hAnsi="宋体" w:eastAsia="宋体" w:cs="宋体"/>
          <w:bCs w:val="0"/>
          <w:color w:val="000000"/>
        </w:rPr>
      </w:pPr>
      <w:bookmarkStart w:id="70" w:name="_Toc118988190"/>
      <w:r>
        <w:rPr>
          <w:rFonts w:hint="eastAsia" w:ascii="宋体" w:hAnsi="宋体" w:eastAsia="宋体" w:cs="宋体"/>
          <w:bCs w:val="0"/>
          <w:color w:val="000000"/>
        </w:rPr>
        <w:t>（五）功能布局</w:t>
      </w:r>
      <w:bookmarkEnd w:id="70"/>
    </w:p>
    <w:p w14:paraId="3593D05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统筹生产生活生态，走好生态优先、绿色发展之路，全面构建“蓝绿交织、山水相融、人城和谐”的宜居空间。加快从“功能城市”走向“文化城市”，让百万鄂州人民在家门口就能拥抱“诗与远方”。根据鄂州市文化旅游资源现状，结合文化旅游发展趋势，“十四五”期间，在全市构建“五大文化旅游区”的空间格局，重点突出“四大特色旅游板块”（“三国风”“乡愁地”“乡村季”“临空巷”）的地域特色，通过发展培育文化旅游产业增长点，提升文化旅游整体发展水平。</w:t>
      </w:r>
    </w:p>
    <w:p w14:paraId="139B8AD5">
      <w:pPr>
        <w:pStyle w:val="6"/>
        <w:spacing w:before="0" w:after="0" w:line="240" w:lineRule="auto"/>
        <w:ind w:firstLine="627" w:firstLineChars="196"/>
        <w:rPr>
          <w:rFonts w:ascii="仿宋_GB2312" w:eastAsia="仿宋_GB2312"/>
          <w:b w:val="0"/>
          <w:color w:val="000000"/>
        </w:rPr>
      </w:pPr>
      <w:bookmarkStart w:id="71" w:name="_Toc118988191"/>
      <w:r>
        <w:rPr>
          <w:rFonts w:ascii="仿宋_GB2312" w:eastAsia="仿宋_GB2312"/>
          <w:b w:val="0"/>
          <w:color w:val="000000"/>
        </w:rPr>
        <w:t>1.</w:t>
      </w:r>
      <w:r>
        <w:rPr>
          <w:rFonts w:hint="eastAsia" w:ascii="仿宋_GB2312" w:eastAsia="仿宋_GB2312"/>
          <w:b w:val="0"/>
          <w:color w:val="000000"/>
        </w:rPr>
        <w:t>五大文化旅游区</w:t>
      </w:r>
      <w:bookmarkEnd w:id="71"/>
    </w:p>
    <w:p w14:paraId="5DDB5888">
      <w:pPr>
        <w:spacing w:line="560" w:lineRule="exact"/>
        <w:ind w:firstLine="420"/>
        <w:rPr>
          <w:rFonts w:ascii="仿宋_GB2312" w:eastAsia="仿宋_GB2312"/>
          <w:color w:val="000000"/>
          <w:sz w:val="32"/>
          <w:szCs w:val="32"/>
        </w:rPr>
      </w:pPr>
      <w:r>
        <w:rPr>
          <w:rFonts w:hint="eastAsia" w:ascii="仿宋_GB2312" w:eastAsia="仿宋_GB2312"/>
          <w:color w:val="000000"/>
          <w:sz w:val="32"/>
          <w:szCs w:val="32"/>
        </w:rPr>
        <w:t>（</w:t>
      </w:r>
      <w:r>
        <w:rPr>
          <w:rFonts w:ascii="仿宋_GB2312" w:eastAsia="仿宋_GB2312"/>
          <w:color w:val="000000"/>
          <w:sz w:val="32"/>
          <w:szCs w:val="32"/>
        </w:rPr>
        <w:t>1</w:t>
      </w:r>
      <w:r>
        <w:rPr>
          <w:rFonts w:hint="eastAsia" w:ascii="仿宋_GB2312" w:eastAsia="仿宋_GB2312"/>
          <w:color w:val="000000"/>
          <w:sz w:val="32"/>
          <w:szCs w:val="32"/>
        </w:rPr>
        <w:t>）主城区文化旅游核心区</w:t>
      </w:r>
    </w:p>
    <w:p w14:paraId="6C84274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充分发挥市区历史文化资源优势、地理区位优势和交通枢纽集群优势，巩固和强化旅游集散功能、综合服务功能和辐射带动功能。按照国家</w:t>
      </w:r>
      <w:r>
        <w:rPr>
          <w:rFonts w:ascii="仿宋_GB2312" w:eastAsia="仿宋_GB2312" w:cs="仿宋_GB2312"/>
          <w:color w:val="000000"/>
          <w:kern w:val="0"/>
          <w:sz w:val="32"/>
          <w:szCs w:val="32"/>
        </w:rPr>
        <w:t>4A</w:t>
      </w:r>
      <w:r>
        <w:rPr>
          <w:rFonts w:hint="eastAsia" w:ascii="仿宋_GB2312" w:eastAsia="仿宋_GB2312" w:cs="仿宋_GB2312"/>
          <w:color w:val="000000"/>
          <w:kern w:val="0"/>
          <w:sz w:val="32"/>
          <w:szCs w:val="32"/>
        </w:rPr>
        <w:t>级旅游景区标准加快吴都·乔街、西山风景区、鄂州工业文旅小镇、葛山鄂州园博园景区建设。加快莲花山智慧文旅建设。加强吴王城遗址保护利用。结合滨江公园建设合力打造城市公共文化休闲区。抓住长江国家文化公园规划建设机遇，启动城市历史古迹修复工程，推动观音阁、松风阁、庾楼、文星塔、孙权广场、西山广场等历史景观焕发生机，形成更多网红打卡地。串联凤凰广场、洋澜湖湿地公园、莲花山、桔园、官柳、镜园，扮靓江南秀美城中湖，打造水光潋滟的“城市客厅”。沿樊口公园、雷山、西山、滨江公园、鄂黄长江大桥一线，建设三国吴都风光带，打造山色空蒙的“城市阳台”。依托市博物馆、图书馆、美术馆、档案馆和城市书吧、社区书屋，形成恬静厚重的“文化园”，打造书香飘逸的“城市书房”。通过景观再造的形式重现凤台烟树、龙蟠晓渡、寒溪漱玉、书堂夜雨、吴王古刹、苏子遗亭、西山积翠、南湖印月等“古武昌八景”，唤起城市回忆，传承历史文脉。推进吴都古肆、南浦路、建设街、十字街等特色街区和商业街改造工程，促进旅游集散中心、商业中心及街区等配套设施建设，提高城区综合服务能力，强化鄂州市区在全市旅游产业发展中的组织、集散和服务的中心地位，努力将主城区打造成全市的文化旅游核心区。</w:t>
      </w:r>
    </w:p>
    <w:p w14:paraId="6F7D2A6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）大梁子湖生态旅游度假区</w:t>
      </w:r>
    </w:p>
    <w:p w14:paraId="3745136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明确“一区、双核、三带、多点示范”的空间发展格局。“一区”即湿地自然保护区，挖掘湿地资源，在实验区内全力打造旅游发展引擎。“双核”分别是建设太和“水乡花园城”和梧桐湖“科创健康城”。“三带”分别是环湖绿道风景观光带、幕阜山脉徒步休闲带、湖乡地方特色美食带。“多点示范”是以水生态文明展示馆、万亩观花油料基地、梁子岛文化旅游综合体、前海湖渔猎主题公园、邱山文旅民宿、东梁子湖乡村振兴文旅综合体、涂镇天空之境等文旅示范点为载体，蓬勃发展农文旅项目，打造一线串珠、连点成片的乡村振兴新样板、“两山”实践创新的新基地及国家全域旅游示范区。</w:t>
      </w:r>
    </w:p>
    <w:p w14:paraId="361F3D6F">
      <w:pPr>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）葛华高科技文化产业示范区</w:t>
      </w:r>
    </w:p>
    <w:p w14:paraId="78B4A6B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围绕打造“</w:t>
      </w:r>
      <w:r>
        <w:rPr>
          <w:rFonts w:ascii="仿宋_GB2312" w:eastAsia="仿宋_GB2312" w:cs="仿宋_GB2312"/>
          <w:color w:val="000000"/>
          <w:kern w:val="0"/>
          <w:sz w:val="32"/>
          <w:szCs w:val="32"/>
        </w:rPr>
        <w:t>157</w:t>
      </w:r>
      <w:r>
        <w:rPr>
          <w:rFonts w:hint="eastAsia" w:ascii="仿宋_GB2312" w:eastAsia="仿宋_GB2312" w:cs="仿宋_GB2312"/>
          <w:color w:val="000000"/>
          <w:kern w:val="0"/>
          <w:sz w:val="32"/>
          <w:szCs w:val="32"/>
        </w:rPr>
        <w:t>”产业集群，不断固链、强链、延链、补链，加快推动鄂州文化旅游产业迈向价值链中高端。以葛店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华容（三江港）产业科技创新带、葛店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红莲湖</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梧桐湖纵向生态科技创新带为依托，以“</w:t>
      </w:r>
      <w:r>
        <w:rPr>
          <w:rFonts w:ascii="仿宋_GB2312" w:eastAsia="仿宋_GB2312" w:cs="仿宋_GB2312"/>
          <w:color w:val="000000"/>
          <w:kern w:val="0"/>
          <w:sz w:val="32"/>
          <w:szCs w:val="32"/>
        </w:rPr>
        <w:t>IP+</w:t>
      </w:r>
      <w:r>
        <w:rPr>
          <w:rFonts w:hint="eastAsia" w:ascii="仿宋_GB2312" w:eastAsia="仿宋_GB2312" w:cs="仿宋_GB2312"/>
          <w:color w:val="000000"/>
          <w:kern w:val="0"/>
          <w:sz w:val="32"/>
          <w:szCs w:val="32"/>
        </w:rPr>
        <w:t>高科技”强力拉动区域旅游发展。以光谷科创大走廊、葛店动漫、悦科（湖北）数据中心、红莲湖高新技术产业园、红莲湖大数据产业园、恒大童世界、梧桐湖文化创意、华润城市综合体为载体，推进“旅游＋科技”，推进文旅产业发展。注入多元化文创元素，以国际化视角、高水准开发葛店动漫文化小镇，孵化一批文创产业社区和街区，打造“创业＋旅游＋旅居”于一体的产城融合新空间。发挥葛店“中国药谷”“生物科技”的产业优势，重点整合生物医药产业资源，开发工业旅游项目和大健康项目。加快建设武汉万吨华中冷链港项目。打造系列高端酒店，提供精致配套和个性化服务，培养华中地区科创休闲度假“新磁极”。着力将该功能区打造成为鄂州旅游高质量发展的新抓手。</w:t>
      </w:r>
    </w:p>
    <w:p w14:paraId="14A690B1">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）鄂城乡村旅游体验区</w:t>
      </w:r>
    </w:p>
    <w:p w14:paraId="6F441E7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鄂城区碧石渡镇、汀祖镇、泽林镇、杜山、长港等乡镇为核心载体，以生态旅游体验为主线，以沉浸式体验为特色，深挖乡村山地及空港美学价值。整合乡村旅游资源，重点加快四峰山旅游综合体项目建设，同时通过对天平山和白雉山的打造，策划一批山地运动、主题营地和山乡康养项目。打造花马湖滨湖休闲旅游，通过特色化、文创化、品牌化等发展手段，构建亮点鲜明的不夜滨湖产品体系。着力将该功能区打造成为乡村旅游示范区、“乡愁”体验示范地、乡村生活美学体验地。</w:t>
      </w:r>
    </w:p>
    <w:p w14:paraId="6EB2ACB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）花湖机场国际空港旅游区</w:t>
      </w:r>
    </w:p>
    <w:p w14:paraId="4CCA8BE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依托临空经济区“一区四园”建设，打造花湖机场国际空港旅游区。探索花湖机场“航空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旅游”模式，创新旅游消费新业态，逐步将该功能区打造成为国际空港旅游新名片。抢抓综合保税区、光电子产业园、智能制造和航空物流产业园、医疗健康产业园、顺丰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建设机遇，加快建设鄂州会展中心、鄂州文化中心、鄂州体育中心，拓展临空经济区文化旅游功能。加强货运交通与旅游交通的融合，带动旅游业与商业、会展业、物流业等的高度融合。建设以“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旅游”产业为核心、以航旅上下游产业为支撑、以航旅新兴产业为衍生的发展平台，有效推动航空和旅游两大行业的加速发展，形成鄂州旅游发展新的增长点。</w:t>
      </w:r>
    </w:p>
    <w:p w14:paraId="6E67CD97">
      <w:pPr>
        <w:pStyle w:val="6"/>
        <w:spacing w:before="0" w:after="0" w:line="240" w:lineRule="auto"/>
        <w:ind w:firstLine="627" w:firstLineChars="196"/>
        <w:rPr>
          <w:rFonts w:ascii="仿宋_GB2312" w:eastAsia="仿宋_GB2312"/>
          <w:b w:val="0"/>
          <w:color w:val="000000"/>
        </w:rPr>
      </w:pPr>
      <w:bookmarkStart w:id="72" w:name="_Toc118988192"/>
      <w:r>
        <w:rPr>
          <w:rFonts w:ascii="仿宋_GB2312" w:eastAsia="仿宋_GB2312"/>
          <w:b w:val="0"/>
          <w:color w:val="000000"/>
        </w:rPr>
        <w:t>2.</w:t>
      </w:r>
      <w:r>
        <w:rPr>
          <w:rFonts w:hint="eastAsia" w:ascii="仿宋_GB2312" w:eastAsia="仿宋_GB2312"/>
          <w:b w:val="0"/>
          <w:color w:val="000000"/>
        </w:rPr>
        <w:t>四大特色旅游板块</w:t>
      </w:r>
      <w:bookmarkEnd w:id="72"/>
    </w:p>
    <w:p w14:paraId="7796ABA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）“三国风”特色板块</w:t>
      </w:r>
    </w:p>
    <w:p w14:paraId="26A903D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主城区历史文化为核心，挖掘三国吴都历史文化，发展旅游商贸、旅游文化观光和休闲娱乐。“三国风”板块主要包括西山风景区、长江沿岸历史文化景观区域、古城区域（包括吴王城遗址）以及洋澜湖南浦区域。</w:t>
      </w:r>
    </w:p>
    <w:p w14:paraId="66B635D4">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西山风景区：主要包括古灵泉寺、吴王避暑宫、九曲亭、松风阁、吴王试剑石、庞统读书堂、抔湖、退谷、雷山植物园等项目。通过十里三国吴都旅游风光带将西山风景区、雷山景区、长江沿岸三国吴都历史遗迹、吴王城遗址深度串联，形成大西山三国吴都文化景区，“十四五”期间，启动大西山三国吴都文化景区的</w:t>
      </w:r>
      <w:r>
        <w:rPr>
          <w:rFonts w:ascii="仿宋_GB2312" w:eastAsia="仿宋_GB2312" w:cs="仿宋_GB2312"/>
          <w:color w:val="000000"/>
          <w:kern w:val="0"/>
          <w:sz w:val="32"/>
          <w:szCs w:val="32"/>
        </w:rPr>
        <w:t>AAAAA</w:t>
      </w:r>
      <w:r>
        <w:rPr>
          <w:rFonts w:hint="eastAsia" w:ascii="仿宋_GB2312" w:eastAsia="仿宋_GB2312" w:cs="仿宋_GB2312"/>
          <w:color w:val="000000"/>
          <w:kern w:val="0"/>
          <w:sz w:val="32"/>
          <w:szCs w:val="32"/>
        </w:rPr>
        <w:t>级景区创建工作。</w:t>
      </w:r>
    </w:p>
    <w:p w14:paraId="08498FE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江沿岸历史文化景观区域：主要包括武昌门、观音阁、吴王广场、怡亭铭摩崖石刻、滨江公园、樊口公园、鄂州博物馆、雨台山、景山瀑布、吴王钓鱼台、寒溪堂等项目。樊口公园东接观音阁公园，西至得胜洲，规划建设公园沿江绿道、步道、绿化景观和历史文化景观。</w:t>
      </w:r>
    </w:p>
    <w:p w14:paraId="0B17EB1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古城区域：主要包括吴王城遗址、吴都古肆、“鄂州十景”（一鼓楼、二宝塔、三眼桥、四眼井、五家巷、六大坊、七星塘、八卦石、九曲亭、十字街）等项目。</w:t>
      </w:r>
    </w:p>
    <w:p w14:paraId="26F20A2B">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洋澜湖南埔区域：主要包括洋澜湖、莲花山、葛山风景区、鄂州园博园等景区。洋澜湖沿湖建成市民文化休闲公园，镜园书香、陶公官柳等南浦十景；莲花山完善元明塔、六合园、碑林。</w:t>
      </w:r>
    </w:p>
    <w:p w14:paraId="0ADEC90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w:t>
      </w:r>
    </w:p>
    <w:p w14:paraId="6EF94353">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乡愁地”特色板块主要包括：梁子湖水乡度假区，梧桐湖亲水度假区、红莲湖康体度假区、峒山新村乡愁体验核心区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个特色小板块。</w:t>
      </w:r>
    </w:p>
    <w:p w14:paraId="02CB013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梁子湖水乡度假区：坚持生态保护原则，以梁子湖流域优质自然资源为依托，以“山水乡愁，梦里水乡”为特色，以渔文化、三国吴鄂文化为底蕴，以生态休闲度假市场为导向，构建“湖、城、山、田、村”一体的旅游产业发展格局，打造集滨湖度假、乡村旅游、生态养生、文化休闲、康体运动等功能于一体的国际生态湖泊型休闲度假旅游目的地、国家生态文明先行示范区、国家级旅游度假区。</w:t>
      </w:r>
    </w:p>
    <w:p w14:paraId="3FC8685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梧桐湖亲水度假区：充分凸显梧桐湖亲水度假组团生态水乡的特点，做足梧桐湖水和湿地的文章，通过华中房车母港、碧桂园假日半岛、梁子湖水生态展示馆、高山湖水乡小镇等项目的建设，打造“乡愁地”板块中最慢活、最亲水的度假天堂。主要体验项目包括碧桂园假日半岛、梁子湖水生态展示馆、高山湖水乡小镇、观音印象、梧桐郡（色块花海）、浮岛商业街区、月山湾旅游度假中心、月山湖湿地公园、东湖高新科技创意城、自驾车营地、户外露营地等项目。</w:t>
      </w:r>
    </w:p>
    <w:p w14:paraId="6381B00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红莲湖康体度假区：以国家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国家级旅游度假区为目标，以“印记武昌·欢聚红莲”为主题形象，以休闲度假为主要功能，突出康体养生与科教体验特色，综合休闲观光、运动拓展、康体度假、生态游乐、商务会议等功能，打造鄂州旅游一站式目的地。主要体验项目包括高尔夫球场、水上训练基地、水上乐园、五星级酒店、水上娱乐体验园、星级饭店、风情街区、创意产业园、养生养老中心等。</w:t>
      </w:r>
    </w:p>
    <w:p w14:paraId="2ECACC85">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峒山新村乡愁体验核心区：峒山新村乡愁体验核心区是鄂州旅游“乡愁地”大梁子湖生态度假区中的重要模块，鄂州“乡愁”旅游品牌更是来源于</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的峒山新村之行，按照“家庭农场、两型社区、民俗村落”的理念，以建设中国最美乡村为目标，以休闲度假为主要功能，突出乡村体验与乡村休闲特色，综合农业观光、水上运动、康体度假等功能，打造鄂州旅游一站式目的地和国家级度假社区。主要体验项目包括新型社区、乡村度假、艺术中心、民宿旅馆、</w:t>
      </w:r>
      <w:r>
        <w:rPr>
          <w:rFonts w:ascii="仿宋_GB2312" w:eastAsia="仿宋_GB2312" w:cs="仿宋_GB2312"/>
          <w:color w:val="000000"/>
          <w:kern w:val="0"/>
          <w:sz w:val="32"/>
          <w:szCs w:val="32"/>
        </w:rPr>
        <w:t>7.22</w:t>
      </w:r>
      <w:r>
        <w:rPr>
          <w:rFonts w:hint="eastAsia" w:ascii="仿宋_GB2312" w:eastAsia="仿宋_GB2312" w:cs="仿宋_GB2312"/>
          <w:color w:val="000000"/>
          <w:kern w:val="0"/>
          <w:sz w:val="32"/>
          <w:szCs w:val="32"/>
        </w:rPr>
        <w:t>乡村体验纪念园、苗圃赏摘、荷塘月色、垂钓、水上游乐、农业观光园、峒山观光文旅综合体等。</w:t>
      </w:r>
    </w:p>
    <w:p w14:paraId="7D5D9E2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）“乡村季”特色板块</w:t>
      </w:r>
    </w:p>
    <w:p w14:paraId="7116683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“乡村季”缤纷四季乡村体验区主要包括长港百里画廊、四峰山生态体验园区、南渍湖观光农园三个特色小板块。</w:t>
      </w:r>
    </w:p>
    <w:p w14:paraId="7179F64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港百里画廊：以农业观光、乡村体验为功能定位，按照旅游景观廊道标准，整治水体和河道，通过亮化、绿化、净化和美化工程，将长港打造成为一条生态画廊。设置观光游船，实现与长江沿岸文化休闲区、乡愁地大梁子湖生态度假区的联动和整合。以</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里长港河两岸赏花采摘、民俗体验、农事教育、特色乡村等项目为载体，通过高星级农家乐、旅游名村、旅游名镇等旅游标准化工程建设，提升乡村旅游品质。主要体验项目包括湿地风情体验项目、文化养生项目、有机农业示范项目、特色水产养殖项目、长港活水景观带项目、水乡人家项目、精品苗木种植项目、时令果蔬采摘项目、缤纷花海游憩项目等。</w:t>
      </w:r>
    </w:p>
    <w:p w14:paraId="05BCA12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四峰山生态体验园区：以农业观光、乡村休闲、乡村度假、农事体验为功能定位，以生态旅游、乡村旅游为核心，加快特色乡村建设，引导农林产业向旅游业发生转变，增加农业产业附加值，整合四峰山片区青山秀水、自然古村的优势资源，融入原乡概念，呈现给游客原汁原味、原色原乡的生态家园。利用四峰山、白稚山的青山优势，开展原生态山林探幽、森林拓展等项目的建设。提升华兆山庄、农业园、石桥水库的资源品质，将乡村度假、农事体验等旅游活动引入提升建设中，建设具有鲜明农产品特色和区域旅游特色的休闲农业示范区。加强与黄石铁山区世界铁城景区的整合，重点突出生态观光、乡村旅游主题，以四色农业、花果赏摘、农家乐、森林旅游为特色。主要体验项目包括华兆山庄、垂钓、水上游乐、上熊古民居、四色农业、苗圃基地、森林氧吧、山地拓展等。</w:t>
      </w:r>
    </w:p>
    <w:p w14:paraId="15561D4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南渍湖观光农园区：以农业观光、乡村休闲为功能定位，充分利用南塘湖、七渍湖及其周边农田，以杏福生态农园为重点，结合武圣村、滨江油菜花田等现状优势资源，发展彩色农业、生态农业、观光农业，通过搭配种植多色、多样果蔬鲜花，结合新颖独特的花海创意、大地艺术景观，形成七彩花海的花田景观。以景区万亩油菜花、万亩果园农业景观为支撑，通过色块农业和多样花果景观打造，营造四季花海、多彩花海景观。主要体验项目包括武圣村、杏福农园、湿地公园、水上游乐（南塘湖、七渍湖）、干堤自行车道、万亩油菜花田等。</w:t>
      </w:r>
    </w:p>
    <w:p w14:paraId="75BD875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）“临空港”国际空港旅游特色板块</w:t>
      </w:r>
    </w:p>
    <w:p w14:paraId="7AE9E391">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临空港”国际空港旅游特色板块主要是临空经济区。主要项目有综合保税区、光电子产业园、智能制造和航空物流产业园、医疗健康产业园、顺丰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鄂州会展中心、鄂州文化中心、鄂州体育中心等项目。加强与机场公司合作，通过花湖机场双枢纽建设，发展国际空港旅游业，加强货运交通与旅游交通的融合，带动旅游业与商业、会展业、物流业等的高度融合。</w:t>
      </w:r>
    </w:p>
    <w:p w14:paraId="0BBBDBF8">
      <w:pPr>
        <w:pStyle w:val="4"/>
        <w:spacing w:before="0" w:after="0" w:line="240" w:lineRule="auto"/>
        <w:ind w:firstLine="640" w:firstLineChars="200"/>
        <w:rPr>
          <w:rFonts w:ascii="微软雅黑" w:hAnsi="微软雅黑" w:eastAsia="微软雅黑" w:cs="微软雅黑"/>
          <w:bCs w:val="0"/>
          <w:color w:val="000000"/>
          <w:sz w:val="32"/>
          <w:szCs w:val="32"/>
        </w:rPr>
      </w:pPr>
      <w:bookmarkStart w:id="73" w:name="_Toc118988193"/>
      <w:bookmarkStart w:id="74" w:name="_Toc102401517"/>
      <w:r>
        <w:rPr>
          <w:rFonts w:hint="eastAsia" w:ascii="微软雅黑" w:hAnsi="微软雅黑" w:eastAsia="微软雅黑" w:cs="微软雅黑"/>
          <w:bCs w:val="0"/>
          <w:color w:val="000000"/>
          <w:sz w:val="32"/>
          <w:szCs w:val="32"/>
        </w:rPr>
        <w:t>三、重点任务</w:t>
      </w:r>
      <w:bookmarkEnd w:id="73"/>
      <w:bookmarkEnd w:id="74"/>
    </w:p>
    <w:p w14:paraId="453FF5D0">
      <w:pPr>
        <w:spacing w:line="560" w:lineRule="exact"/>
        <w:ind w:firstLine="640" w:firstLineChars="200"/>
        <w:rPr>
          <w:rFonts w:ascii="仿宋_GB2312" w:eastAsia="仿宋_GB2312" w:cs="仿宋_GB2312"/>
          <w:color w:val="000000"/>
          <w:kern w:val="0"/>
          <w:sz w:val="32"/>
          <w:szCs w:val="32"/>
        </w:rPr>
      </w:pPr>
      <w:bookmarkStart w:id="75" w:name="_Toc102401518"/>
      <w:bookmarkStart w:id="76" w:name="_Toc96722258"/>
      <w:r>
        <w:rPr>
          <w:rFonts w:hint="eastAsia" w:ascii="仿宋_GB2312" w:eastAsia="仿宋_GB2312" w:cs="仿宋_GB2312"/>
          <w:color w:val="000000"/>
          <w:kern w:val="0"/>
          <w:sz w:val="32"/>
          <w:szCs w:val="32"/>
        </w:rPr>
        <w:t>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坚持以人民为中心的创作导向，推出更多增强人民精神力量的优秀作品，培育造就大批德艺双馨的文学艺术家和规模宏大的文化文艺人才队伍。坚持把社会效益放在首位、社会效益和经济效益相统一。深化文化体制改革，完善文化经济政策。实施国家文化数字化战略，健全现代公共文化服务体系，创新实施文化惠民工程。健全现代文化产业体系和市场体系，实施重大文化产业项目带动战略。加大文物和文化遗产保护力度，加强城乡建设中历史文化保护传承，建好用好国家文化公园。坚持以文塑旅、以旅彰文，推进文化和旅游深度融合发展。广泛开展全民健身活动，加强青少年体育工作，促进群众体育和竞技体育全面发展，加快建设体育强国。</w:t>
      </w:r>
    </w:p>
    <w:p w14:paraId="7F7CCDA9">
      <w:pPr>
        <w:pStyle w:val="5"/>
        <w:spacing w:before="0" w:after="0" w:line="240" w:lineRule="auto"/>
        <w:ind w:firstLine="630" w:firstLineChars="196"/>
        <w:rPr>
          <w:rFonts w:ascii="仿宋_GB2312" w:eastAsia="仿宋_GB2312"/>
          <w:b w:val="0"/>
          <w:color w:val="000000"/>
        </w:rPr>
      </w:pPr>
      <w:bookmarkStart w:id="77" w:name="_Toc118988194"/>
      <w:r>
        <w:rPr>
          <w:rFonts w:hint="eastAsia" w:ascii="宋体" w:hAnsi="宋体" w:eastAsia="宋体" w:cs="宋体"/>
          <w:bCs w:val="0"/>
          <w:color w:val="000000"/>
        </w:rPr>
        <w:t>（一）夯实文化本底，提升鄂州文化实力</w:t>
      </w:r>
      <w:bookmarkEnd w:id="75"/>
      <w:bookmarkEnd w:id="76"/>
      <w:bookmarkEnd w:id="77"/>
      <w:bookmarkStart w:id="78" w:name="_Toc96722259"/>
      <w:bookmarkStart w:id="79" w:name="_Toc102401519"/>
    </w:p>
    <w:p w14:paraId="545A527B">
      <w:pPr>
        <w:pStyle w:val="6"/>
        <w:spacing w:before="0" w:after="0" w:line="240" w:lineRule="auto"/>
        <w:ind w:firstLine="627" w:firstLineChars="196"/>
        <w:rPr>
          <w:rFonts w:ascii="仿宋_GB2312" w:eastAsia="仿宋_GB2312"/>
          <w:b w:val="0"/>
          <w:color w:val="000000"/>
        </w:rPr>
      </w:pPr>
      <w:bookmarkStart w:id="80" w:name="_Toc118988195"/>
      <w:r>
        <w:rPr>
          <w:rFonts w:ascii="仿宋_GB2312" w:eastAsia="仿宋_GB2312"/>
          <w:b w:val="0"/>
          <w:color w:val="000000"/>
        </w:rPr>
        <w:t>1.</w:t>
      </w:r>
      <w:r>
        <w:rPr>
          <w:rFonts w:hint="eastAsia" w:ascii="仿宋_GB2312" w:eastAsia="仿宋_GB2312"/>
          <w:b w:val="0"/>
          <w:color w:val="000000"/>
        </w:rPr>
        <w:t>加强文物保护与利用</w:t>
      </w:r>
      <w:bookmarkEnd w:id="78"/>
      <w:bookmarkEnd w:id="79"/>
      <w:bookmarkEnd w:id="80"/>
    </w:p>
    <w:p w14:paraId="7A6AA78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）夯实文物工作基础</w:t>
      </w:r>
    </w:p>
    <w:p w14:paraId="07CE32DC">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加强文物保护单位的保护。积极筹备第九批全国重点文物保护单位、第八批湖北省文物保护单位申报工作。完善文物保护单位公布工作，并推动将具备条件的文物保护单位公布为市、县级文物保护单位。坚持协同保护、共享发展理念，将文物保护纳入国土空间规划体系。加强文物保护规划的编制、公布与实施，完善吴王城遗址保护规划编制和实施。开展</w:t>
      </w:r>
      <w:r>
        <w:rPr>
          <w:rFonts w:hint="eastAsia" w:ascii="仿宋_GB2312" w:hAnsi="仿宋_GB2312" w:eastAsia="仿宋_GB2312" w:cs="仿宋_GB2312"/>
          <w:color w:val="000000"/>
          <w:kern w:val="0"/>
          <w:sz w:val="32"/>
          <w:szCs w:val="32"/>
        </w:rPr>
        <w:t>国家级、省级文物保护单位规划编制，推动文物保护与环境改善、城乡建设、文化旅游的和谐发展。拓展文物藏品征集范围。强化党史、新中国史</w:t>
      </w:r>
      <w:r>
        <w:rPr>
          <w:rFonts w:hint="eastAsia" w:ascii="仿宋_GB2312" w:eastAsia="仿宋_GB2312" w:cs="仿宋_GB2312"/>
          <w:color w:val="000000"/>
          <w:kern w:val="0"/>
          <w:sz w:val="32"/>
          <w:szCs w:val="32"/>
        </w:rPr>
        <w:t>、改革开放史、社会主义发展史相关文物藏品征集，注重反映经济社会发展、重大公共事件物证征藏，丰富博物馆藏品体系。加强博物馆库房标准化建设，落实藏品入藏、保养、借用、交流、展览管理制度。推进文物鉴定定级工作，促进博物馆藏品档案标准化、信息化管理。支持、鼓励非国有博物馆建设，规范非国有博物馆藏品档案管理，依法推进法人财产确权，依法加强社会文物管理。</w:t>
      </w:r>
    </w:p>
    <w:p w14:paraId="34AE54F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）加强不可移动文物保护和活化利用</w:t>
      </w:r>
    </w:p>
    <w:p w14:paraId="54F28F2A">
      <w:pPr>
        <w:spacing w:line="560" w:lineRule="exact"/>
        <w:ind w:firstLine="640" w:firstLineChars="200"/>
        <w:rPr>
          <w:rFonts w:ascii="仿宋_GB2312" w:eastAsia="仿宋_GB2312" w:cs="仿宋_GB2312"/>
          <w:color w:val="000000"/>
          <w:kern w:val="0"/>
          <w:sz w:val="32"/>
          <w:szCs w:val="32"/>
        </w:rPr>
      </w:pPr>
      <w:r>
        <w:rPr>
          <w:rFonts w:hint="eastAsia" w:ascii="仿宋_GB2312" w:hAnsi="仿宋_GB2312" w:eastAsia="仿宋_GB2312" w:cs="仿宋_GB2312"/>
          <w:color w:val="000000"/>
          <w:sz w:val="32"/>
          <w:szCs w:val="32"/>
        </w:rPr>
        <w:t>实施重点文物保护工程。加强观音阁、怡亭铭、庾亮楼、</w:t>
      </w:r>
      <w:r>
        <w:rPr>
          <w:rFonts w:hint="eastAsia" w:ascii="仿宋_GB2312" w:hAnsi="仿宋_GB2312" w:eastAsia="仿宋_GB2312" w:cs="仿宋_GB2312"/>
          <w:sz w:val="32"/>
          <w:szCs w:val="32"/>
          <w:lang w:val="en"/>
        </w:rPr>
        <w:t>吴王城遗址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吴氏祠堂、胡家老屋、彭楚藩烈士祠等国家级、省级重点文物保护单位的保护和活化利用。积极参加长江国家文化公园建设，适时推进考古遗址公园建设，提高文物保护利用水平。加强观音阁、怡亭铭、太白港桥、文星塔等易受自然灾害文物的日常维护与监测，做好灾前预防应对与灾后抢救保护。做好城乡建设中的文物保护和活化利用。协同住建部门推进历史文化名城、历史文化街区、历史建筑中的文物保护和活化利用工程，促进文化保护利用与旅游发展相融合。充分履行文物保护职责，服务经济社会发展大局，认真做好基本建设中的考古调查、勘探、发掘和文物保护工作。理顺文物保护与建设工程的关系，建立“建设项目土地储备考</w:t>
      </w:r>
      <w:r>
        <w:rPr>
          <w:rFonts w:hint="eastAsia" w:ascii="仿宋_GB2312" w:eastAsia="仿宋_GB2312" w:cs="仿宋_GB2312"/>
          <w:color w:val="000000"/>
          <w:kern w:val="0"/>
          <w:sz w:val="32"/>
          <w:szCs w:val="32"/>
        </w:rPr>
        <w:t>古前置制度”，实现建设用地“先考古，后出让”。</w:t>
      </w:r>
    </w:p>
    <w:p w14:paraId="0B3EF690">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）加强可移动文物保护</w:t>
      </w:r>
    </w:p>
    <w:p w14:paraId="54BD355C">
      <w:pPr>
        <w:spacing w:line="560" w:lineRule="exact"/>
        <w:ind w:firstLine="640" w:firstLineChars="200"/>
        <w:rPr>
          <w:rFonts w:ascii="仿宋_GB2312" w:hAnsi="仿宋_GB2312" w:eastAsia="仿宋_GB2312" w:cs="仿宋_GB2312"/>
          <w:color w:val="000000"/>
          <w:sz w:val="32"/>
          <w:szCs w:val="32"/>
        </w:rPr>
      </w:pPr>
      <w:r>
        <w:rPr>
          <w:rFonts w:hint="eastAsia" w:ascii="仿宋_GB2312" w:eastAsia="仿宋_GB2312" w:cs="仿宋_GB2312"/>
          <w:color w:val="000000"/>
          <w:kern w:val="0"/>
          <w:sz w:val="32"/>
          <w:szCs w:val="32"/>
        </w:rPr>
        <w:t>加强馆藏文物本体保护利用。实施馆藏珍贵文物保护修复工程。重点开展馆藏青铜器、漆木器、铁器、纸质和革命文物保护修复。加强馆藏文物数字化保护与利用。利用三维激光扫描和近景摄影测量等技术手段，对有关文物信息进行全面采集，建立数字档案，利用</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打印技术，做到精准复原文物原貌</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促进文物保护研究以及活化利用。利用视频</w:t>
      </w:r>
      <w:r>
        <w:rPr>
          <w:rFonts w:ascii="仿宋_GB2312" w:eastAsia="仿宋_GB2312" w:cs="仿宋_GB2312"/>
          <w:color w:val="000000"/>
          <w:kern w:val="0"/>
          <w:sz w:val="32"/>
          <w:szCs w:val="32"/>
        </w:rPr>
        <w:t>VR</w:t>
      </w:r>
      <w:r>
        <w:rPr>
          <w:rFonts w:hint="eastAsia" w:ascii="仿宋_GB2312" w:eastAsia="仿宋_GB2312" w:cs="仿宋_GB2312"/>
          <w:color w:val="000000"/>
          <w:kern w:val="0"/>
          <w:sz w:val="32"/>
          <w:szCs w:val="32"/>
        </w:rPr>
        <w:t>技术展现有关文物</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画面，增强观众体验感。分类开展重点类别文物的健康性评测，建立馆藏文物保护修复基础资料数据库。提升博物馆文物保护装备水平，改善文物保存环境。加强现代信息技术在馆藏文物保护中</w:t>
      </w:r>
      <w:r>
        <w:rPr>
          <w:rFonts w:hint="eastAsia" w:ascii="仿宋_GB2312" w:hAnsi="仿宋_GB2312" w:eastAsia="仿宋_GB2312" w:cs="仿宋_GB2312"/>
          <w:color w:val="000000"/>
          <w:sz w:val="32"/>
          <w:szCs w:val="32"/>
        </w:rPr>
        <w:t>的应用，制定馆藏文物数字化保护技术标准及实施方案，多渠道推广和传播文物资源。</w:t>
      </w:r>
    </w:p>
    <w:p w14:paraId="7F96D7E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）加强革命文物保护</w:t>
      </w:r>
    </w:p>
    <w:p w14:paraId="6F4B5F27">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夯实革命文物工作基础。坚持抢救性和预防性并重，实施本体保护与周边环境整治一体保护的措施。创建革命文物展示利用示范工程，支持各区依托革命文物资源，重点建设鄂南军事指挥部旧址、麻羊垴抗战纪念地等示范项目。加强革命文物保护法治建设，发挥革命文物教育功能。提请市人大、市政府出台革命文物遗址遗迹保护利用地方性法规或规范性文件。建立健全不可移动革命文物保护制度，组织对革命文物定期排查，定期通报革命文物保护和利用情况。加强对革命文物和革命文献档案史料、口述资料的调查征集、认定、定级、建档工作，建立革命文物资源数据库，公布全市革命文物名录，推进信息资源社会共享。拓展革命文物活化途径。加大革命文物展示利用力度，鼓励学校、党校（行政学院）利用革命文物单位开展现场教育，深化革命文物的教育功能。实施革命文物精品展示工程，推出一批主题突出、导向鲜明、内涵丰富的革命文物陈列展览精品，打造红色主题社会教育品牌。加强文旅融合，推出系列青少年红色文化研学旅行体验项目和文化创意产品，打造红色旅游线路品牌。</w:t>
      </w:r>
    </w:p>
    <w:p w14:paraId="3022ED7E">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）提高博物馆事业发展质量</w:t>
      </w:r>
    </w:p>
    <w:p w14:paraId="3D9151B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加快全市博物馆发展布局。推动各区、葛店开发区、临空经济区各类博物馆或融博物馆于一体的综合文化馆的建设，提升中小博物馆硬件设施和服务能力。支持非国有博物馆建设。增强博物馆公共服务能力，落实《湖北省博物馆公共服务导则》，推进博物馆基本公共服务规范化、标准化、均等化。推动市博物馆创建国家一级博物馆。提升博物馆现代化治理水平。推进博物馆理事会制度建设和法人治理结构改革。深化博物馆免费开放及推广预约制度，完善参观购物、应急救护、无障碍设施、母婴服务等服务设施。打造集陈列展览、知识传播、教育活动、文创产品、学术研究于一体的标志性品牌展览项目。优化“吴都古韵”等社会教育平台，推进展览“六进”活动。深入挖掘文物资源价值和文化元素。讲好鄂州故事，让历史说话，让历史人物复活，让文物活起来。</w:t>
      </w:r>
    </w:p>
    <w:p w14:paraId="2D9CCBD8">
      <w:pPr>
        <w:numPr>
          <w:ilvl w:val="0"/>
          <w:numId w:val="0"/>
        </w:num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lang w:val="en-US" w:eastAsia="zh-CN"/>
        </w:rPr>
        <w:t>(6)</w:t>
      </w:r>
      <w:r>
        <w:rPr>
          <w:rFonts w:hint="eastAsia" w:ascii="仿宋_GB2312" w:eastAsia="仿宋_GB2312" w:cs="仿宋_GB2312"/>
          <w:color w:val="000000"/>
          <w:kern w:val="0"/>
          <w:sz w:val="32"/>
          <w:szCs w:val="32"/>
        </w:rPr>
        <w:t>提升文物安全防护水平</w:t>
      </w:r>
    </w:p>
    <w:p w14:paraId="6B64ED69">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落实文物安全责任制。认真贯彻《湖北省文物安全管理办法》，构建全市文物保护联席会工作机制，全面落实文物安全工作纳入地方政府年度考核评价体系、综合治理体系、文明城市创建考评体系，加大地方政府主体责任、部门监管责任、文物使用者直接责任的考核力度。健全文物保护“一处一策”工作制度，实行文物安全直接责任人公告公示制度。提升文物安全监管水平，完善常态化工作机制，加强文物保护单位日常检查巡查。推进安全防范工程建设，提高文博单位安全防范水平。强化文物行政执法，配合公安等部门开展打击防范文物犯罪专项行动。完善文物安全应急管理。建立文物安全事故和违法案件应急响应机制。有效应对文博领域灾情疫情，持续做好全市文博单位疫情精准防控和灾后文物保护工作。加强社会监督，鼓励文物保护社会组织、志愿者积极参与文物安全监督管理。</w:t>
      </w:r>
    </w:p>
    <w:p w14:paraId="4B8699FE">
      <w:pPr>
        <w:pStyle w:val="6"/>
        <w:spacing w:before="0" w:after="0" w:line="240" w:lineRule="auto"/>
        <w:ind w:firstLine="627" w:firstLineChars="196"/>
        <w:rPr>
          <w:rFonts w:ascii="仿宋_GB2312" w:eastAsia="仿宋_GB2312"/>
          <w:b w:val="0"/>
          <w:color w:val="000000"/>
        </w:rPr>
      </w:pPr>
      <w:bookmarkStart w:id="81" w:name="_Toc118988196"/>
      <w:bookmarkStart w:id="82" w:name="_Toc96722260"/>
      <w:bookmarkStart w:id="83" w:name="_Toc102401520"/>
      <w:r>
        <w:rPr>
          <w:rFonts w:ascii="仿宋_GB2312" w:eastAsia="仿宋_GB2312"/>
          <w:b w:val="0"/>
          <w:color w:val="000000"/>
        </w:rPr>
        <w:t>2.</w:t>
      </w:r>
      <w:r>
        <w:rPr>
          <w:rFonts w:hint="eastAsia" w:ascii="仿宋_GB2312" w:eastAsia="仿宋_GB2312"/>
          <w:b w:val="0"/>
          <w:color w:val="000000"/>
        </w:rPr>
        <w:t>强化非物质文化遗产保护与传承</w:t>
      </w:r>
      <w:bookmarkEnd w:id="81"/>
      <w:bookmarkEnd w:id="82"/>
      <w:bookmarkEnd w:id="83"/>
    </w:p>
    <w:p w14:paraId="57EC162F">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）夯实非物质文化遗产保护基础</w:t>
      </w:r>
    </w:p>
    <w:p w14:paraId="3D4B638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非物质文化遗产保护理念。积极推行非物质文化系统性保护、创造性转化和创新性发展的理念，推动非物质文化遗产活化利用。持续开展市级非物质文化遗产代表性项目的认定命名工作。支持行业、企业和非物质文化遗产代表性项目、代表性传承人设立非物质文化遗产展示场所和传习场所。完善非遗代表性传承人名录体系。加强非遗代表性传承人管理，加大对传承人支持扶持力度，探索非遗代表性传承团体（群体）的认证工作。推进全市非物质文化遗产项目数字资料库建设。建立各级非物质文化遗产名录体系，加大非物质文化遗产项目代表性实物和资料征集力度。</w:t>
      </w:r>
    </w:p>
    <w:p w14:paraId="0D70F50F">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）创新非物质文化遗产传承方式</w:t>
      </w:r>
    </w:p>
    <w:p w14:paraId="4589D98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促进非物质文化遗产与旅游业融合发展。开展“非遗进景区”活动，通过旅游的方式促进非遗融入现代生活、服务人民群众。整合非物质文化遗产和公共文化优势资源，推出特色文化体验型旅游产品和旅游线路。促进非物质文化遗产与现代教育融合发展。持续开展“非遗进校园”活动，鼓励和支持代表性非物质文化遗产传承人、项目保护单位和专家参与学校开展的非物质文化遗产知识教育和实践活动。支持非物质文化遗产代表性传承人与学校合作，到学校兼职任教、建立工作室。省内高等院校在鄂州市挂牌“非遗传承与教育实习基地”，通过社团组织、学生工作坊、课题研究等方式开展非遗传承实践活动。</w:t>
      </w:r>
    </w:p>
    <w:p w14:paraId="10AFCDE3">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）拓展非物质文化遗产传播途径</w:t>
      </w:r>
    </w:p>
    <w:p w14:paraId="5F18D932">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充分利用重大节庆进行传播。高起点策划、高质量举办非物质文化遗产宣传展示活动。</w:t>
      </w:r>
      <w:r>
        <w:rPr>
          <w:rFonts w:hint="eastAsia" w:ascii="仿宋_GB2312" w:eastAsia="仿宋_GB2312" w:cs="仿宋_GB2312"/>
          <w:kern w:val="0"/>
          <w:sz w:val="32"/>
          <w:szCs w:val="32"/>
        </w:rPr>
        <w:t>巩固雕花剪纸公益培训与传播项目，持续组织开展全市牌子锣、鄂州雕花剪纸等非物质文化遗产赛事活动。加大主流媒体宣传力度。促进非物质文</w:t>
      </w:r>
      <w:r>
        <w:rPr>
          <w:rFonts w:hint="eastAsia" w:ascii="仿宋_GB2312" w:eastAsia="仿宋_GB2312" w:cs="仿宋_GB2312"/>
          <w:color w:val="000000"/>
          <w:kern w:val="0"/>
          <w:sz w:val="32"/>
          <w:szCs w:val="32"/>
        </w:rPr>
        <w:t>化遗产数字化传播，开发一批以鄂州雕花剪纸、鄂州牌子锣、沼山玉连环等传统艺术为代表的云演艺作品。建立“鄂州非遗”视频号、抖音、快手等新媒体宣传，并定期持续推送。</w:t>
      </w:r>
    </w:p>
    <w:p w14:paraId="11D4DAD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）加强非物质文化遗产传承人培养</w:t>
      </w:r>
    </w:p>
    <w:p w14:paraId="0DA99158">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持续开展传承人群研修研习。开展以代表性传承人、中青年传承人群为主要对象的研习、研究和培训活动。有效推进师徒传承、群体传承等多种形式的传承活动。</w:t>
      </w:r>
    </w:p>
    <w:p w14:paraId="2E88FE42">
      <w:pPr>
        <w:pStyle w:val="6"/>
        <w:spacing w:before="0" w:after="0" w:line="240" w:lineRule="auto"/>
        <w:ind w:firstLine="627" w:firstLineChars="196"/>
        <w:rPr>
          <w:rFonts w:ascii="仿宋_GB2312" w:eastAsia="仿宋_GB2312"/>
          <w:b w:val="0"/>
          <w:color w:val="000000"/>
        </w:rPr>
      </w:pPr>
      <w:bookmarkStart w:id="84" w:name="_Toc118988197"/>
      <w:bookmarkStart w:id="85" w:name="_Toc102401521"/>
      <w:bookmarkStart w:id="86" w:name="_Toc96722261"/>
      <w:r>
        <w:rPr>
          <w:rFonts w:ascii="仿宋_GB2312" w:eastAsia="仿宋_GB2312"/>
          <w:b w:val="0"/>
          <w:color w:val="000000"/>
        </w:rPr>
        <w:t>3.</w:t>
      </w:r>
      <w:r>
        <w:rPr>
          <w:rFonts w:hint="eastAsia" w:ascii="仿宋_GB2312" w:eastAsia="仿宋_GB2312"/>
          <w:b w:val="0"/>
          <w:color w:val="000000"/>
        </w:rPr>
        <w:t>繁荣文艺创作和生产</w:t>
      </w:r>
      <w:bookmarkEnd w:id="84"/>
      <w:bookmarkEnd w:id="85"/>
      <w:bookmarkEnd w:id="86"/>
    </w:p>
    <w:p w14:paraId="7BB3CD3A">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）加强文艺创作引导</w:t>
      </w:r>
    </w:p>
    <w:p w14:paraId="5DB6F73A">
      <w:pPr>
        <w:autoSpaceDE w:val="0"/>
        <w:autoSpaceDN w:val="0"/>
        <w:adjustRightInd w:val="0"/>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坚持价值引领。以社会主义核心价值观为引领，坚持以人民为中心的创作导向，以创作规划为先导，引导全市广大文艺工作者深入生活，扎根人民进行文艺创作。突出主题活动。紧紧围绕庆祝中国共产党成立</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周年、党的二十大、北京冬奥会、新中国成立</w:t>
      </w:r>
      <w:r>
        <w:rPr>
          <w:rFonts w:ascii="仿宋_GB2312" w:eastAsia="仿宋_GB2312" w:cs="仿宋_GB2312"/>
          <w:color w:val="000000"/>
          <w:kern w:val="0"/>
          <w:sz w:val="32"/>
          <w:szCs w:val="32"/>
        </w:rPr>
        <w:t>75</w:t>
      </w:r>
      <w:r>
        <w:rPr>
          <w:rFonts w:hint="eastAsia" w:ascii="仿宋_GB2312" w:eastAsia="仿宋_GB2312" w:cs="仿宋_GB2312"/>
          <w:color w:val="000000"/>
          <w:kern w:val="0"/>
          <w:sz w:val="32"/>
          <w:szCs w:val="32"/>
        </w:rPr>
        <w:t>周年、抗日战争胜利</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周年、鄂州建市</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视察峒山</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周年等重要节点和国家重大战略，围绕党史、新中国史、改革开放史、社会主义发展史等领域统筹创作规划，合理集聚和配置资源，扶持重大现实题材、革命题材、历史题材创作，推出一批新时代精品力作。</w:t>
      </w:r>
    </w:p>
    <w:p w14:paraId="5AD5C4A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）打造现实题材艺术精品</w:t>
      </w:r>
    </w:p>
    <w:p w14:paraId="527D241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文艺精品创作工程，聚焦武鄂黄黄都市圈、武汉城市圈同城化核心区，“两区一枢纽”的发展战略和定位，推出一批反映鄂州时代风貌、地域特色、讴歌鄂州精神的现实题材文艺精品。鼓励网络文艺精品创作。探索艺术与科技的结合。推动线下演出与线上演出融合发展，进一步提升艺术传播力。鼓励鄂州本土作者、艺术人士积极运用网络创作优秀作品。</w:t>
      </w:r>
    </w:p>
    <w:p w14:paraId="0CA16273">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240C54B6">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54C177A">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3-1  </w:t>
            </w:r>
            <w:r>
              <w:rPr>
                <w:rFonts w:hint="eastAsia" w:ascii="仿宋_GB2312" w:hAnsi="楷体" w:eastAsia="仿宋_GB2312"/>
                <w:color w:val="000000"/>
                <w:sz w:val="24"/>
              </w:rPr>
              <w:t>鄂州文艺作品创作</w:t>
            </w:r>
          </w:p>
        </w:tc>
      </w:tr>
      <w:tr w14:paraId="4A7DC98A">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E7116EC">
            <w:pPr>
              <w:pStyle w:val="13"/>
              <w:shd w:val="clear" w:color="auto" w:fill="FFFFFF"/>
              <w:spacing w:before="0" w:beforeAutospacing="0" w:after="0" w:afterAutospacing="0" w:line="480" w:lineRule="exact"/>
              <w:ind w:firstLine="482"/>
              <w:rPr>
                <w:rFonts w:ascii="仿宋_GB2312" w:hAnsi="楷体" w:eastAsia="仿宋_GB2312"/>
                <w:color w:val="000000"/>
              </w:rPr>
            </w:pPr>
            <w:r>
              <w:rPr>
                <w:rFonts w:hint="eastAsia" w:ascii="仿宋_GB2312" w:hAnsi="楷体" w:eastAsia="仿宋_GB2312"/>
                <w:color w:val="000000"/>
              </w:rPr>
              <w:t>文艺作品创作工程：聚焦长江生态保护、绿色发展，立足地域特色，以</w:t>
            </w:r>
            <w:r>
              <w:rPr>
                <w:rFonts w:hint="eastAsia" w:ascii="仿宋_GB2312" w:hAnsi="仿宋_GB2312" w:eastAsia="仿宋_GB2312" w:cs="仿宋_GB2312"/>
                <w:color w:val="000000"/>
              </w:rPr>
              <w:t>长</w:t>
            </w:r>
            <w:r>
              <w:rPr>
                <w:rFonts w:hint="eastAsia" w:ascii="仿宋_GB2312" w:hAnsi="楷体" w:eastAsia="仿宋_GB2312"/>
                <w:color w:val="000000"/>
              </w:rPr>
              <w:t>江大保护、</w:t>
            </w:r>
            <w:r>
              <w:rPr>
                <w:rFonts w:hint="eastAsia" w:ascii="仿宋_GB2312" w:hAnsi="仿宋_GB2312" w:eastAsia="仿宋_GB2312" w:cs="仿宋_GB2312"/>
                <w:color w:val="000000"/>
              </w:rPr>
              <w:t>国家湿地保护、</w:t>
            </w:r>
            <w:r>
              <w:rPr>
                <w:rFonts w:hint="eastAsia" w:ascii="仿宋_GB2312" w:hAnsi="楷体" w:eastAsia="仿宋_GB2312"/>
                <w:color w:val="000000"/>
              </w:rPr>
              <w:t>湖北货运</w:t>
            </w:r>
            <w:r>
              <w:rPr>
                <w:rFonts w:hint="eastAsia"/>
                <w:color w:val="000000"/>
              </w:rPr>
              <w:t>杻</w:t>
            </w:r>
            <w:r>
              <w:rPr>
                <w:rFonts w:hint="eastAsia" w:ascii="仿宋_GB2312" w:hAnsi="仿宋_GB2312" w:eastAsia="仿宋_GB2312" w:cs="仿宋_GB2312"/>
                <w:color w:val="000000"/>
              </w:rPr>
              <w:t>纽花湖机场建设、梁子湖退渔还湖、</w:t>
            </w:r>
            <w:r>
              <w:rPr>
                <w:rFonts w:hint="eastAsia" w:ascii="仿宋_GB2312" w:hAnsi="楷体" w:eastAsia="仿宋_GB2312"/>
                <w:color w:val="000000"/>
              </w:rPr>
              <w:t>党和国家领导人民群众建设绿水青山美好家园为故事背景，组织创排现代京剧《青山湖》参加第四届湖北艺术节。围绕第五届湖北艺术节文艺展打造一部京剧舞台剧目。</w:t>
            </w:r>
          </w:p>
        </w:tc>
      </w:tr>
    </w:tbl>
    <w:p w14:paraId="3BDB6BEB">
      <w:pPr>
        <w:spacing w:line="560" w:lineRule="exact"/>
        <w:ind w:firstLine="640" w:firstLineChars="200"/>
        <w:rPr>
          <w:rFonts w:ascii="仿宋_GB2312" w:eastAsia="仿宋_GB2312" w:cs="仿宋_GB2312"/>
          <w:color w:val="000000"/>
          <w:kern w:val="0"/>
          <w:sz w:val="32"/>
          <w:szCs w:val="32"/>
        </w:rPr>
      </w:pPr>
    </w:p>
    <w:p w14:paraId="1A5DABF6">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）加强艺术精品推广与市场转化</w:t>
      </w:r>
    </w:p>
    <w:p w14:paraId="2F5894B1">
      <w:pPr>
        <w:spacing w:line="560" w:lineRule="exact"/>
        <w:ind w:firstLine="640" w:firstLineChars="200"/>
        <w:rPr>
          <w:rFonts w:ascii="仿宋_GB2312" w:eastAsia="仿宋_GB2312"/>
          <w:color w:val="000000"/>
        </w:rPr>
      </w:pPr>
      <w:r>
        <w:rPr>
          <w:rFonts w:hint="eastAsia" w:ascii="仿宋_GB2312" w:hAnsi="楷体_GB2312" w:eastAsia="仿宋_GB2312" w:cs="仿宋_GB2312"/>
          <w:color w:val="000000"/>
          <w:kern w:val="0"/>
          <w:sz w:val="32"/>
          <w:szCs w:val="32"/>
        </w:rPr>
        <w:t>推广精品文艺成果。充分发挥湖北省京剧二团、鄂州市演艺公司的职能及鄂州大剧院文化阵地宣传作用，</w:t>
      </w:r>
      <w:r>
        <w:rPr>
          <w:rFonts w:hint="eastAsia" w:ascii="仿宋_GB2312" w:eastAsia="仿宋_GB2312"/>
          <w:color w:val="000000"/>
          <w:sz w:val="32"/>
          <w:szCs w:val="32"/>
        </w:rPr>
        <w:t>积极推进国有文艺团体创新创造活力和内生动力，不断增强创演质量、管理水平。大幅提升国有文艺团体服务效能，进一步巩固和发挥国有文艺团体的主导地位和引领作用。</w:t>
      </w:r>
      <w:r>
        <w:rPr>
          <w:rFonts w:hint="eastAsia" w:ascii="仿宋_GB2312" w:hAnsi="楷体_GB2312" w:eastAsia="仿宋_GB2312" w:cs="仿宋_GB2312"/>
          <w:color w:val="000000"/>
          <w:kern w:val="0"/>
          <w:sz w:val="32"/>
          <w:szCs w:val="32"/>
        </w:rPr>
        <w:t>继续做好各类惠民演出工作。继续在全市推进“戏曲艺术进校园”等弘扬社会主义核心价值观的主题巡演活动。发挥重大艺术活动的传播推广作用，瞄准重要文艺赛事活动，力争在省级及以上艺术赛事活动评比中创造佳绩，</w:t>
      </w:r>
      <w:r>
        <w:rPr>
          <w:rFonts w:hint="eastAsia" w:ascii="仿宋_GB2312" w:hAnsi="楷体_GB2312" w:eastAsia="仿宋_GB2312" w:cs="仿宋_GB2312"/>
          <w:kern w:val="0"/>
          <w:sz w:val="32"/>
          <w:szCs w:val="32"/>
        </w:rPr>
        <w:t>力争“十四五”期间能成功冲刺湖北省“五个一工程”奖或楚天文华奖。充</w:t>
      </w:r>
      <w:r>
        <w:rPr>
          <w:rFonts w:hint="eastAsia" w:ascii="仿宋_GB2312" w:hAnsi="楷体_GB2312" w:eastAsia="仿宋_GB2312" w:cs="仿宋_GB2312"/>
          <w:color w:val="000000"/>
          <w:kern w:val="0"/>
          <w:sz w:val="32"/>
          <w:szCs w:val="32"/>
        </w:rPr>
        <w:t>分发挥市美术馆职能及文化阵地宣传作用，立足地域特色、政治主题、重大节庆、举办高水平、高质量美术作品展览，展示鄂州艺术风貌。持续做好“走进艺术世界”社教活动，推动美术与教育的有机融合，扩大鄂州城市影响力。推动艺术精品市场化发展。建立健全文艺精品市场化运作机制，开发深受群众喜爱、市场占有率高的文化产品。引导国有文艺院团、国有剧场与社会各方力量打造舞台艺术精品演出院线，探索艺术精品与旅游的融合发展，不定期在旅游街区和旅游景区开展演出。</w:t>
      </w:r>
    </w:p>
    <w:p w14:paraId="5F47EBA7">
      <w:pPr>
        <w:pStyle w:val="6"/>
        <w:spacing w:before="0" w:after="0" w:line="240" w:lineRule="auto"/>
        <w:ind w:firstLine="627" w:firstLineChars="196"/>
        <w:rPr>
          <w:rFonts w:ascii="仿宋_GB2312" w:eastAsia="仿宋_GB2312"/>
          <w:b w:val="0"/>
          <w:color w:val="000000"/>
        </w:rPr>
      </w:pPr>
      <w:bookmarkStart w:id="87" w:name="_Toc118988198"/>
      <w:bookmarkStart w:id="88" w:name="_Toc96722262"/>
      <w:bookmarkStart w:id="89" w:name="_Toc102401522"/>
      <w:r>
        <w:rPr>
          <w:rFonts w:ascii="仿宋_GB2312" w:eastAsia="仿宋_GB2312"/>
          <w:b w:val="0"/>
          <w:color w:val="000000"/>
        </w:rPr>
        <w:t>4.</w:t>
      </w:r>
      <w:r>
        <w:rPr>
          <w:rFonts w:hint="eastAsia" w:ascii="仿宋_GB2312" w:eastAsia="仿宋_GB2312"/>
          <w:b w:val="0"/>
          <w:color w:val="000000"/>
        </w:rPr>
        <w:t>增强文化产业竞争力</w:t>
      </w:r>
      <w:bookmarkEnd w:id="87"/>
      <w:bookmarkEnd w:id="88"/>
      <w:bookmarkEnd w:id="89"/>
    </w:p>
    <w:p w14:paraId="44BAC88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加快建设文化旅游发展。到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年，文化产业体系和市场体系逐步发展，文化产业结构布局不断优化，文化供给质量明显提升，文化消费更加活跃，文化产业规模持续壮大，文化产业在全市</w:t>
      </w:r>
      <w:r>
        <w:rPr>
          <w:rFonts w:ascii="仿宋_GB2312" w:hAnsi="楷体_GB2312" w:eastAsia="仿宋_GB2312" w:cs="仿宋_GB2312"/>
          <w:color w:val="000000"/>
          <w:kern w:val="0"/>
          <w:sz w:val="32"/>
          <w:szCs w:val="32"/>
        </w:rPr>
        <w:t>GDP</w:t>
      </w:r>
      <w:r>
        <w:rPr>
          <w:rFonts w:hint="eastAsia" w:ascii="仿宋_GB2312" w:hAnsi="楷体_GB2312" w:eastAsia="仿宋_GB2312" w:cs="仿宋_GB2312"/>
          <w:color w:val="000000"/>
          <w:kern w:val="0"/>
          <w:sz w:val="32"/>
          <w:szCs w:val="32"/>
        </w:rPr>
        <w:t>占比进一步提高，对鄂州经济增长的支撑和带动作用得到充分发挥。</w:t>
      </w:r>
    </w:p>
    <w:p w14:paraId="42034D2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）积极实施六大文化产业工程</w:t>
      </w:r>
    </w:p>
    <w:p w14:paraId="695E054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一是实施优质文化产品供给工程。支持市演艺公司（湖北省京剧二团）演艺事业积极发展，积极发展京剧事业，大力开展送演出下基层、戏曲进校园活动，</w:t>
      </w:r>
      <w:r>
        <w:rPr>
          <w:rFonts w:hint="eastAsia" w:ascii="仿宋_GB2312" w:hAnsi="楷体_GB2312" w:eastAsia="仿宋_GB2312" w:cs="仿宋_GB2312"/>
          <w:kern w:val="0"/>
          <w:sz w:val="32"/>
          <w:szCs w:val="32"/>
        </w:rPr>
        <w:t>以第九届文华奖《小凤》复排为契机，大力培育少儿京剧文化品牌，擦亮湖北省京剧二团品牌。以备战省艺术节为契机，创作排演政治主题鲜明、艺术水准较高、社会影响较好的京剧舞台文艺精品，力争在湖北艺术节获奖，晋京演出，努力把思想深刻、品质精良的鄂州文化名牌叫响全国。鼓励支持</w:t>
      </w:r>
      <w:r>
        <w:rPr>
          <w:rFonts w:hint="eastAsia" w:ascii="仿宋_GB2312" w:hAnsi="楷体_GB2312" w:eastAsia="仿宋_GB2312" w:cs="仿宋_GB2312"/>
          <w:color w:val="000000"/>
          <w:kern w:val="0"/>
          <w:sz w:val="32"/>
          <w:szCs w:val="32"/>
        </w:rPr>
        <w:t>民间文艺院团开展文化惠民演出活动，积极参加文艺节庆活动。</w:t>
      </w:r>
      <w:r>
        <w:rPr>
          <w:rFonts w:hint="eastAsia" w:ascii="仿宋_GB2312" w:hAnsi="楷体_GB2312" w:eastAsia="仿宋_GB2312" w:cs="仿宋_GB2312"/>
          <w:kern w:val="0"/>
          <w:sz w:val="32"/>
          <w:szCs w:val="32"/>
        </w:rPr>
        <w:t>整合峒山社区全省机关党员干部教育基地、贺龙军部旧址等红色文化资源，打造红色文化产品。</w:t>
      </w:r>
      <w:r>
        <w:rPr>
          <w:rFonts w:hint="eastAsia" w:ascii="仿宋_GB2312" w:hAnsi="楷体_GB2312" w:eastAsia="仿宋_GB2312" w:cs="仿宋_GB2312"/>
          <w:color w:val="000000"/>
          <w:kern w:val="0"/>
          <w:sz w:val="32"/>
          <w:szCs w:val="32"/>
        </w:rPr>
        <w:t>二是实施文旅产业融合工程。推进“文化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战略，加快文化产业与科技创新、乡村振兴、体育康养等领域深度融合。三是实施文化业态创新工程。大力发展数字文化产业，拓展新商业模式，推动新型文化企业、新型文化业态、新型文化消费模式健康发展，激活消费市场，满足人民群众日益多元化的精神文化需求。四是实施文化消费升级工程。加快建设文化消费服务平台，完善文化消费基础设施；鼓励探索“云展览”“云旅游”等新型互联网文化消费形态；组织开展形式多样的文化惠民服务活动，培育市民文化消费习惯，增强文化消费便利性，开辟文化消费新应用场景和新增长极，引领文化消费新时尚。五是实施产业链条延展工程。主动参与全球航空文化产业链重构，将信息技术、创意设计、智能制造等优势文化产业有机嵌入国际航空文化产业链、供应链；统筹利用鄂钢工业旅游、老水泥厂现有存量资源，鼓励以老旧厂房拓展文化创新集聚空间，打造更多网红打卡地，加快健全现代文化产业体系，补链、扩链、强链，在创意设计、数字创意、文化制造等领域实施一批重大项目，提升产业基础能力和产业链水平。六是实施市场主体培育工程。做强文化产业招商引资“一号工程”，加大文化头部企业引进力度，对重点企业、重点项目开展有针对性的“一企一策”联系服务活动，引进培育一批创新型领军企业。支持重点规上企业拓展文化业务，组建文化企业，增强全产业链辐射带动作用。鼓励中小文化企业向“专精特新”方向发展，支持文化市场主体“个转企”“小进规”“规改股”“股上市”。落实好文化产业惠企扶持政策，切实减税降费、减租降息，确保各项支持措施直达基层，激发文化企业“源头活力”。</w:t>
      </w:r>
    </w:p>
    <w:p w14:paraId="7194504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）发展文化演艺娱乐和做强节庆会展产业</w:t>
      </w:r>
    </w:p>
    <w:p w14:paraId="0B67170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高质量发展文化演艺。挖掘鄂州传统特色文化、革命红色文化等，力争推出</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台精品舞台剧目。做大夜间文化休闲。发挥鄂州文化优势，精准对接文化休闲需求，鼓励图书馆、美术馆、文化馆、剧场、景区景点、商业街区等延长经营时间，培育打造景区夜游、深夜书店、夜间超市、夜间餐饮排档、夜间地摊等一批夜游夜览夜市产品。大力打造品牌节庆会展活动。将武昌鱼文化旅游节、农民丰收节、涂镇蓝莓采摘节、沼山胡柚节、梁子湖坡地油菜花节、蒲团东沟荷花旅游节等打造成品牌节庆会展活动，逐步做强本土品牌节庆，培育一批具有鲜明鄂州本土文化特色、具有传承价值的文化旅游品牌活动。</w:t>
      </w:r>
    </w:p>
    <w:p w14:paraId="7C47648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）积极培育文化创意和数字文化产业</w:t>
      </w:r>
    </w:p>
    <w:p w14:paraId="4B16D0F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培育文化创意产业。活化利用古铜镜之乡、雕花剪纸之乡、书法之乡等历史文化资源，充分发挥各类市场主体作用，引导和鼓励社会力量参与鄂州文创产品的开发。推进吴都乔街、吴都古肆仿古街、杏福生态园文创街等文创产品、旅游特色产品发展。支持开发文化创意产品，鼓励在旅游景点、交通枢纽、商业中心等地开设专卖店或代售点。创新发展数字文化产业。推进莲花山人工智能展示馆、葛店动漫、红莲湖大数据产业园快速发展。发展动漫、游戏数字内容服务，鼓励创作弘扬鄂州文化与社会主义核心价值观的动漫游戏产品和动漫游戏衍生产品，发展数字艺术展示产业，鼓励历史文化街区等传统文化场所打造鄂州文化主题数字艺术展示品牌活动和展示项目。</w:t>
      </w:r>
    </w:p>
    <w:p w14:paraId="2FEBE73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）不断优化文化市场发展环境</w:t>
      </w:r>
    </w:p>
    <w:p w14:paraId="3E82665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壮大文化市场主体。推动形成不同所有制文化企业共同发展、大中小微文化企业相互促进的产业组织体系。重点扶持培育一批具有区域竞争力的文化产业。扶持民营文化企业和小微文化企业发展，出台奖补扶持政策，鼓励文化产业“大众创业、万众创新”。力争“十四五”期末，全市省级文化产业示范基地不少于</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扩大文化和旅游消费。推出消费惠民措施，提高消费便捷程度，将文化消费嵌入各类消费场所，打造群众身边的文化消费网点。引导文化和旅游消费场所广泛应用互联网售票、二维码验票。提升文化和旅游消费场所宽带移动通信网络覆盖水平。探索激发文化和旅游消费潜力的长效机制，培育壮大文化和旅游消费新业态、新模式。</w:t>
      </w:r>
    </w:p>
    <w:p w14:paraId="493FD3DF">
      <w:pPr>
        <w:pStyle w:val="6"/>
        <w:spacing w:before="0" w:after="0" w:line="240" w:lineRule="auto"/>
        <w:ind w:firstLine="627" w:firstLineChars="196"/>
        <w:rPr>
          <w:rFonts w:ascii="仿宋_GB2312" w:eastAsia="仿宋_GB2312"/>
          <w:b w:val="0"/>
          <w:color w:val="000000"/>
        </w:rPr>
      </w:pPr>
      <w:bookmarkStart w:id="90" w:name="_Toc118988199"/>
      <w:bookmarkStart w:id="91" w:name="_Toc96722263"/>
      <w:bookmarkStart w:id="92" w:name="_Toc102401523"/>
      <w:r>
        <w:rPr>
          <w:rFonts w:ascii="仿宋_GB2312" w:eastAsia="仿宋_GB2312"/>
          <w:b w:val="0"/>
          <w:color w:val="000000"/>
        </w:rPr>
        <w:t>5.</w:t>
      </w:r>
      <w:r>
        <w:rPr>
          <w:rFonts w:hint="eastAsia" w:ascii="仿宋_GB2312" w:eastAsia="仿宋_GB2312"/>
          <w:b w:val="0"/>
          <w:color w:val="000000"/>
        </w:rPr>
        <w:t>推进文化和旅游深度融合</w:t>
      </w:r>
      <w:bookmarkEnd w:id="90"/>
      <w:bookmarkEnd w:id="91"/>
      <w:bookmarkEnd w:id="92"/>
    </w:p>
    <w:p w14:paraId="0853316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鼓励文化主题旅游景区以文化资源作为载体，大力规划开发文化旅游产品。一是推进展示“＋旅游”发展模式。以城市购物中心、公共文化机构、城市社区等为依托，建设和提升技术含量高、传播能力强的文化体验馆、城市展示馆、科技展示馆、城市记忆馆，使其成为爱国主义教育、文化传承传播、数字产业演示、大众学习鉴赏的重要场所。二是推出旅游体验新产品。培育以文物保护单位、博物馆、文化馆、水生态展示馆、鄂钢工业旅游、农旅融合展示馆为支撑的体验旅游、研学旅游。三是推出文化旅游精品线路。深入挖掘并活化利用三国文化、古铜镜文化、武昌鱼文化、张裕钊书法文化、宗教文化、红色文化、名人文化等文化内涵，着力打造一批文化旅游特色线路。四是探索“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旅游”发展模式。加强各级文物保护单位的保护修缮，推动有条件的国家级、省级重点文物保护单位创建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级景区，并完善文物旅游景区配套设施、优化信息化服务供给，形成“文物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旅游”服务体系，在保护中利用，在利用中保护，扩大“文物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w:t>
      </w:r>
    </w:p>
    <w:p w14:paraId="546F22D6">
      <w:pPr>
        <w:pStyle w:val="6"/>
        <w:spacing w:before="0" w:after="0" w:line="240" w:lineRule="auto"/>
        <w:ind w:firstLine="627" w:firstLineChars="196"/>
        <w:rPr>
          <w:rFonts w:ascii="仿宋_GB2312" w:eastAsia="仿宋_GB2312"/>
          <w:b w:val="0"/>
          <w:color w:val="000000"/>
        </w:rPr>
      </w:pPr>
      <w:bookmarkStart w:id="93" w:name="_Toc96722264"/>
      <w:bookmarkStart w:id="94" w:name="_Toc102401524"/>
      <w:bookmarkStart w:id="95" w:name="_Toc118988200"/>
      <w:r>
        <w:rPr>
          <w:rFonts w:ascii="仿宋_GB2312" w:eastAsia="仿宋_GB2312"/>
          <w:b w:val="0"/>
          <w:color w:val="000000"/>
        </w:rPr>
        <w:t>6.</w:t>
      </w:r>
      <w:r>
        <w:rPr>
          <w:rFonts w:hint="eastAsia" w:ascii="仿宋_GB2312" w:eastAsia="仿宋_GB2312"/>
          <w:b w:val="0"/>
          <w:color w:val="000000"/>
        </w:rPr>
        <w:t>开展多层次文化交流</w:t>
      </w:r>
      <w:bookmarkEnd w:id="93"/>
      <w:bookmarkEnd w:id="94"/>
      <w:bookmarkEnd w:id="95"/>
    </w:p>
    <w:p w14:paraId="2CB0AFF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）搭建文化交流平台</w:t>
      </w:r>
    </w:p>
    <w:p w14:paraId="38E0A31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化对外交流传播的互联网思维、全媒体视角，有计划地通过大型短视频网站、社交网络、预订网站、照片分享网站、评论网站等多元渠道扩大鄂州文化交流，定期发布鄂州文化内容，注重向旅游客源地的年轻一代展现鄂州文化独特魅力，提升鄂州知名度。大力组织对外文化交流，推出具有鄂州本土特色的历史文化、地域文化，增进外界对鄂州文化的了解和认识。</w:t>
      </w:r>
    </w:p>
    <w:p w14:paraId="787CB38D">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）深化重点地区文化交流合作</w:t>
      </w:r>
    </w:p>
    <w:p w14:paraId="42E22AF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重点加强武鄂黄黄文化交流。抢抓武鄂黄黄都市圈、武汉城市圈同城化核心区建设机遇，主动融入武汉城市圈，积极对接区域内各城市优质资源。深化与城市圈内各城市的文化交流合作，开展长江经济带沿线城市的文化交流合作。以花湖机场建设为载体，重点加强与黄石、黄冈的文化交流合作。二是加强与省外重点城市合作。向省外重点城市合作。建立健全文艺演出常态化互动机制，主动加入演出市场联盟，抢占演出市场，加强城市间文艺演出交流。三是加强以地域文化为主题的文艺剧目创作。加大以鄂州文化元素为主要内容的文艺精品创作，打造特色文化活动品牌，吸引观众回流，活跃鄂州演出市场。推荐城市圈内优秀剧目走进鄂州，丰富群众文化生活。四是完善城市圈文艺专家库。加入城市圈艺术普及师资库，建立文化专业技术人员共培共享机制，发挥艺术人才的作用。五是积极开展走出去演出活动。积极落实中宣部“中华文化走出去”“春节文化走出去”及湖北省“荆楚文化走出去”要求，持续开展鄂州文化“走出去”活动，并鼓励各类文艺院团主动开展海外巡演、巡展。六是积极开展对外文化交流。围绕鄂州雕花剪纸、铜镜文化等文化元素，加强与东亚、东南亚文化圈的民间文化交流。</w:t>
      </w:r>
    </w:p>
    <w:p w14:paraId="049ED539">
      <w:pPr>
        <w:pStyle w:val="5"/>
        <w:numPr>
          <w:ilvl w:val="0"/>
          <w:numId w:val="1"/>
        </w:numPr>
        <w:spacing w:before="0" w:after="0" w:line="240" w:lineRule="auto"/>
        <w:ind w:firstLine="630" w:firstLineChars="196"/>
        <w:rPr>
          <w:rFonts w:eastAsia="宋体"/>
        </w:rPr>
      </w:pPr>
      <w:bookmarkStart w:id="96" w:name="_Toc96722265"/>
      <w:bookmarkStart w:id="97" w:name="_Toc118988201"/>
      <w:bookmarkStart w:id="98" w:name="_Toc102401525"/>
      <w:r>
        <w:rPr>
          <w:rFonts w:hint="eastAsia" w:ascii="宋体" w:hAnsi="宋体" w:eastAsia="宋体" w:cs="宋体"/>
          <w:bCs w:val="0"/>
          <w:color w:val="000000"/>
        </w:rPr>
        <w:t>升级旅游产业，提升全域旅游发展质效</w:t>
      </w:r>
      <w:bookmarkEnd w:id="96"/>
      <w:bookmarkEnd w:id="97"/>
      <w:bookmarkEnd w:id="98"/>
    </w:p>
    <w:p w14:paraId="7EA80267">
      <w:pPr>
        <w:pStyle w:val="6"/>
        <w:spacing w:before="0" w:after="0" w:line="240" w:lineRule="auto"/>
        <w:ind w:firstLine="627" w:firstLineChars="196"/>
        <w:rPr>
          <w:rFonts w:ascii="仿宋_GB2312" w:eastAsia="仿宋_GB2312"/>
          <w:b w:val="0"/>
          <w:color w:val="000000"/>
        </w:rPr>
      </w:pPr>
      <w:bookmarkStart w:id="99" w:name="_Toc96722267"/>
      <w:bookmarkStart w:id="100" w:name="_Toc91456795"/>
      <w:bookmarkStart w:id="101" w:name="_Toc118988202"/>
      <w:bookmarkStart w:id="102" w:name="_Toc102401527"/>
      <w:r>
        <w:rPr>
          <w:rFonts w:ascii="仿宋_GB2312" w:eastAsia="仿宋_GB2312"/>
          <w:b w:val="0"/>
          <w:color w:val="000000"/>
        </w:rPr>
        <w:t>1.</w:t>
      </w:r>
      <w:r>
        <w:rPr>
          <w:rFonts w:hint="eastAsia" w:ascii="仿宋_GB2312" w:eastAsia="仿宋_GB2312"/>
          <w:b w:val="0"/>
          <w:color w:val="000000"/>
        </w:rPr>
        <w:t>提升旅游产品供给</w:t>
      </w:r>
      <w:bookmarkEnd w:id="99"/>
      <w:bookmarkEnd w:id="100"/>
      <w:bookmarkEnd w:id="101"/>
      <w:bookmarkEnd w:id="102"/>
    </w:p>
    <w:p w14:paraId="1E470FB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）重点打造</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大旅游产品</w:t>
      </w:r>
    </w:p>
    <w:p w14:paraId="2457B4E7">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kern w:val="0"/>
          <w:sz w:val="32"/>
          <w:szCs w:val="32"/>
        </w:rPr>
        <w:t>打造滨湖滨江旅游带旅</w:t>
      </w:r>
      <w:r>
        <w:rPr>
          <w:rFonts w:hint="eastAsia" w:ascii="仿宋_GB2312" w:eastAsia="仿宋_GB2312" w:cs="仿宋_GB2312"/>
          <w:color w:val="000000"/>
          <w:kern w:val="0"/>
          <w:sz w:val="32"/>
          <w:szCs w:val="32"/>
        </w:rPr>
        <w:t>游产品。提升</w:t>
      </w:r>
      <w:r>
        <w:rPr>
          <w:rFonts w:hint="eastAsia" w:ascii="仿宋_GB2312" w:eastAsia="仿宋_GB2312" w:cs="仿宋_GB2312"/>
          <w:kern w:val="0"/>
          <w:sz w:val="32"/>
          <w:szCs w:val="32"/>
        </w:rPr>
        <w:t>滨湖</w:t>
      </w:r>
      <w:r>
        <w:rPr>
          <w:rFonts w:hint="eastAsia" w:ascii="仿宋_GB2312" w:eastAsia="仿宋_GB2312" w:cs="仿宋_GB2312"/>
          <w:color w:val="000000"/>
          <w:kern w:val="0"/>
          <w:sz w:val="32"/>
          <w:szCs w:val="32"/>
        </w:rPr>
        <w:t>度假产品质量。依托梁子湖、红莲湖、梧桐湖、花马湖、洋澜湖等湖泊资源，引进和培育高品质滨湖度假酒店品牌。依托梁子湖打造大型文旅综合体。支持梁子湖全域旅游发展，推出系列休闲度假旅游产品。丰富湖泊休闲旅游业态，支持梁子湖、梧桐湖等发展游船、垂钓、婚庆等新业态。谋划花马湖航空文旅康养、水上乐园项目，发展湖泊美食文化消费。对于有条件的湖泊，探索发展大型水上实景演出、水下观景等亮点产品旅游产品，擦亮鄂州湖泊旅游品牌。</w:t>
      </w:r>
    </w:p>
    <w:p w14:paraId="24BBAFF4">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47E13981">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0116610">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3-2  </w:t>
            </w:r>
            <w:r>
              <w:rPr>
                <w:rFonts w:hint="eastAsia" w:ascii="仿宋_GB2312" w:hAnsi="楷体" w:eastAsia="仿宋_GB2312"/>
                <w:color w:val="000000"/>
                <w:sz w:val="24"/>
              </w:rPr>
              <w:t>湖泊旅游重点开发项目</w:t>
            </w:r>
          </w:p>
        </w:tc>
      </w:tr>
      <w:tr w14:paraId="67128F93">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09640C81">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梁子湖全域旅游建设项目。（</w:t>
            </w:r>
            <w:r>
              <w:rPr>
                <w:rFonts w:ascii="仿宋_GB2312" w:hAnsi="楷体" w:eastAsia="仿宋_GB2312"/>
                <w:color w:val="000000"/>
              </w:rPr>
              <w:t>1</w:t>
            </w:r>
            <w:r>
              <w:rPr>
                <w:rFonts w:hint="eastAsia" w:ascii="仿宋_GB2312" w:hAnsi="楷体" w:eastAsia="仿宋_GB2312"/>
                <w:color w:val="000000"/>
              </w:rPr>
              <w:t>）梁子岛游客服务中心及配套工程，长岭码头综合停车场建设项目；（</w:t>
            </w:r>
            <w:r>
              <w:rPr>
                <w:rFonts w:ascii="仿宋_GB2312" w:hAnsi="楷体" w:eastAsia="仿宋_GB2312"/>
                <w:color w:val="000000"/>
              </w:rPr>
              <w:t>2</w:t>
            </w:r>
            <w:r>
              <w:rPr>
                <w:rFonts w:hint="eastAsia" w:ascii="仿宋_GB2312" w:hAnsi="楷体" w:eastAsia="仿宋_GB2312"/>
                <w:color w:val="000000"/>
              </w:rPr>
              <w:t>）东沟镇余湾村、茅圻村、伯岩村、刘河村四个乡村旅游点旅游服务中心及旅游驿站；（</w:t>
            </w:r>
            <w:r>
              <w:rPr>
                <w:rFonts w:ascii="仿宋_GB2312" w:hAnsi="楷体" w:eastAsia="仿宋_GB2312"/>
                <w:color w:val="000000"/>
              </w:rPr>
              <w:t>3</w:t>
            </w:r>
            <w:r>
              <w:rPr>
                <w:rFonts w:hint="eastAsia" w:ascii="仿宋_GB2312" w:hAnsi="楷体" w:eastAsia="仿宋_GB2312"/>
                <w:color w:val="000000"/>
              </w:rPr>
              <w:t>）涂家垴镇官田、野湖咀游客服务中心及旅游驿站；（</w:t>
            </w:r>
            <w:r>
              <w:rPr>
                <w:rFonts w:ascii="仿宋_GB2312" w:hAnsi="楷体" w:eastAsia="仿宋_GB2312"/>
                <w:color w:val="000000"/>
              </w:rPr>
              <w:t>4</w:t>
            </w:r>
            <w:r>
              <w:rPr>
                <w:rFonts w:hint="eastAsia" w:ascii="仿宋_GB2312" w:hAnsi="楷体" w:eastAsia="仿宋_GB2312"/>
                <w:color w:val="000000"/>
              </w:rPr>
              <w:t>）泉天牡丹花谷、梁湖碧玉生态园两个农旅基地游客服务中心及旅游驿站；（</w:t>
            </w:r>
            <w:r>
              <w:rPr>
                <w:rFonts w:ascii="仿宋_GB2312" w:hAnsi="楷体" w:eastAsia="仿宋_GB2312"/>
                <w:color w:val="000000"/>
              </w:rPr>
              <w:t>5</w:t>
            </w:r>
            <w:r>
              <w:rPr>
                <w:rFonts w:hint="eastAsia" w:ascii="仿宋_GB2312" w:hAnsi="楷体" w:eastAsia="仿宋_GB2312"/>
                <w:color w:val="000000"/>
              </w:rPr>
              <w:t>）沼山</w:t>
            </w:r>
            <w:r>
              <w:rPr>
                <w:rFonts w:ascii="仿宋_GB2312" w:hAnsi="楷体" w:eastAsia="仿宋_GB2312"/>
                <w:color w:val="000000"/>
              </w:rPr>
              <w:t>-</w:t>
            </w:r>
            <w:r>
              <w:rPr>
                <w:rFonts w:hint="eastAsia" w:ascii="仿宋_GB2312" w:hAnsi="楷体" w:eastAsia="仿宋_GB2312"/>
                <w:color w:val="000000"/>
              </w:rPr>
              <w:t>太和户外</w:t>
            </w:r>
            <w:r>
              <w:rPr>
                <w:rFonts w:ascii="仿宋_GB2312" w:hAnsi="楷体" w:eastAsia="仿宋_GB2312"/>
                <w:color w:val="000000"/>
              </w:rPr>
              <w:t>32</w:t>
            </w:r>
            <w:r>
              <w:rPr>
                <w:rFonts w:hint="eastAsia" w:ascii="仿宋_GB2312" w:hAnsi="楷体" w:eastAsia="仿宋_GB2312"/>
                <w:color w:val="000000"/>
              </w:rPr>
              <w:t>公里徒步旅游道路建设（含太和镇谢培</w:t>
            </w:r>
            <w:r>
              <w:rPr>
                <w:rFonts w:ascii="仿宋_GB2312" w:hAnsi="楷体" w:eastAsia="仿宋_GB2312"/>
                <w:color w:val="000000"/>
              </w:rPr>
              <w:t>-</w:t>
            </w:r>
            <w:r>
              <w:rPr>
                <w:rFonts w:hint="eastAsia" w:ascii="仿宋_GB2312" w:hAnsi="楷体" w:eastAsia="仿宋_GB2312"/>
                <w:color w:val="000000"/>
              </w:rPr>
              <w:t>陈太红色旅游道路）及旅游引导标识系统及旅游驿站建设；（</w:t>
            </w:r>
            <w:r>
              <w:rPr>
                <w:rFonts w:ascii="仿宋_GB2312" w:hAnsi="楷体" w:eastAsia="仿宋_GB2312"/>
                <w:color w:val="000000"/>
              </w:rPr>
              <w:t>6</w:t>
            </w:r>
            <w:r>
              <w:rPr>
                <w:rFonts w:hint="eastAsia" w:ascii="仿宋_GB2312" w:hAnsi="楷体" w:eastAsia="仿宋_GB2312"/>
                <w:color w:val="000000"/>
              </w:rPr>
              <w:t>）太和镇陈太村游客服务中心及旅游驿站。</w:t>
            </w:r>
          </w:p>
          <w:p w14:paraId="11A87850">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梁子湖水生态展示馆项目。梁子湖水生态展示馆项目选址于梧桐湖新城南部广家洲大堤外滩，计划总投资</w:t>
            </w:r>
            <w:r>
              <w:rPr>
                <w:rFonts w:ascii="仿宋_GB2312" w:hAnsi="楷体" w:eastAsia="仿宋_GB2312"/>
                <w:color w:val="000000"/>
              </w:rPr>
              <w:t>3.5</w:t>
            </w:r>
            <w:r>
              <w:rPr>
                <w:rFonts w:hint="eastAsia" w:ascii="仿宋_GB2312" w:hAnsi="楷体" w:eastAsia="仿宋_GB2312"/>
                <w:color w:val="000000"/>
              </w:rPr>
              <w:t>亿元，占地面积</w:t>
            </w:r>
            <w:r>
              <w:rPr>
                <w:rFonts w:ascii="仿宋_GB2312" w:hAnsi="楷体" w:eastAsia="仿宋_GB2312"/>
                <w:color w:val="000000"/>
              </w:rPr>
              <w:t>5</w:t>
            </w:r>
            <w:r>
              <w:rPr>
                <w:rFonts w:hint="eastAsia" w:ascii="仿宋_GB2312" w:hAnsi="楷体" w:eastAsia="仿宋_GB2312"/>
                <w:color w:val="000000"/>
              </w:rPr>
              <w:t>万平方米，依托梁子湖水文化，建立华中首个以湖泊保护、水生态修复、水生物多样性保护为特色的研究展示中心。</w:t>
            </w:r>
          </w:p>
        </w:tc>
      </w:tr>
    </w:tbl>
    <w:p w14:paraId="7ACE562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乡村旅游产品。加快建设“沿江、沿湖、沿港、沿山”农旅融合示范带，做大乡行、乡味、乡音、乡居等“乡愁四韵”品牌，打造一批网红打卡地。鼓励旅游带动乡村振兴，把乡村旅游作为乡村振兴的重要突破口。推进乡村旅游与农、林、水、渔、养等产业的融合发展，推动乡村旅游由观光经济到体验经济、访客经济的转型升级，使乡村旅游向多元化多业态多层次延展。打造乡村旅游发展轴线。依托全市丰富的名镇名村和现代乡村景观，打造以桃花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东方山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四峰山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白雉山段乡村振兴融合发展轴线、段店镇江滩油菜花海至葛店武城古村落乡村振兴融合发展轴线、环梁子湖绿道风景观光带轴线、幕阜山脉徒步休闲带轴线、湖北地方特色美食带轴线五条乡村旅游发展轴线，形成区域乡村旅游新标杆。大力发展精品民宿。依托梁子湖沿湖较好的乡村民宿基础，构建民宿群落。鼓励利用全域土地综合整治和宅基地整理、收储具有保留利用价值的传统民居、闲置农房、厂房、学校等建筑房屋综合利用方式，盘活乡村闲置土地和房屋，支持发展乡村民宿经济。依托乡镇文化形成村史村情馆、民俗民艺馆以及传统的名人故居、历史遗迹纪念馆等多元形态，向游客传播鄂州乡村历史、农耕文明、乡土记忆以及多年积淀的生活传统。“十四五”期间，在有条件的乡镇开展乡村博物馆（民俗馆）的试点建设。加大乡村旅游品牌建设，打造高端乡村旅游品牌，评定一批乡村旅游点，打造峒山村、岳石洪村、路口村、武圣村、石竹村、中湾村、大桥村、熊易村、余湾村、楠竹村</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个特色旅游村。力争“十四五”期间新创建国家乡村旅游重点村</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家，争创湖北省旅游名村不少于</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w:t>
      </w:r>
    </w:p>
    <w:p w14:paraId="573CD693">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0B60D70E">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01D3EF74">
            <w:pPr>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3-3  </w:t>
            </w:r>
            <w:r>
              <w:rPr>
                <w:rFonts w:hint="eastAsia" w:ascii="仿宋_GB2312" w:hAnsi="楷体" w:eastAsia="仿宋_GB2312"/>
                <w:color w:val="000000"/>
                <w:sz w:val="24"/>
              </w:rPr>
              <w:t>乡村旅游重点建设项目</w:t>
            </w:r>
          </w:p>
        </w:tc>
      </w:tr>
      <w:tr w14:paraId="362BE070">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7C7B126">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杏福生态园旅游区项目。项目位于华容区段店镇，园区流转土地总面积</w:t>
            </w:r>
            <w:r>
              <w:rPr>
                <w:rFonts w:ascii="仿宋_GB2312" w:hAnsi="楷体" w:eastAsia="仿宋_GB2312"/>
                <w:color w:val="000000"/>
              </w:rPr>
              <w:t>1.7</w:t>
            </w:r>
            <w:r>
              <w:rPr>
                <w:rFonts w:hint="eastAsia" w:ascii="仿宋_GB2312" w:hAnsi="楷体" w:eastAsia="仿宋_GB2312"/>
                <w:color w:val="000000"/>
              </w:rPr>
              <w:t>万亩，其中耕地面积</w:t>
            </w:r>
            <w:r>
              <w:rPr>
                <w:rFonts w:ascii="仿宋_GB2312" w:hAnsi="楷体" w:eastAsia="仿宋_GB2312"/>
                <w:color w:val="000000"/>
              </w:rPr>
              <w:t>1</w:t>
            </w:r>
            <w:r>
              <w:rPr>
                <w:rFonts w:hint="eastAsia" w:ascii="仿宋_GB2312" w:hAnsi="楷体" w:eastAsia="仿宋_GB2312"/>
                <w:color w:val="000000"/>
              </w:rPr>
              <w:t>万余亩，湖泊面积</w:t>
            </w:r>
            <w:r>
              <w:rPr>
                <w:rFonts w:ascii="仿宋_GB2312" w:hAnsi="楷体" w:eastAsia="仿宋_GB2312"/>
                <w:color w:val="000000"/>
              </w:rPr>
              <w:t>7000</w:t>
            </w:r>
            <w:r>
              <w:rPr>
                <w:rFonts w:hint="eastAsia" w:ascii="仿宋_GB2312" w:hAnsi="楷体" w:eastAsia="仿宋_GB2312"/>
                <w:color w:val="000000"/>
              </w:rPr>
              <w:t>亩，建设用地</w:t>
            </w:r>
            <w:r>
              <w:rPr>
                <w:rFonts w:ascii="仿宋_GB2312" w:hAnsi="楷体" w:eastAsia="仿宋_GB2312"/>
                <w:color w:val="000000"/>
              </w:rPr>
              <w:t>489</w:t>
            </w:r>
            <w:r>
              <w:rPr>
                <w:rFonts w:hint="eastAsia" w:ascii="仿宋_GB2312" w:hAnsi="楷体" w:eastAsia="仿宋_GB2312"/>
                <w:color w:val="000000"/>
              </w:rPr>
              <w:t>亩，建设文创一条街、亲水乐园及相关基础设施。</w:t>
            </w:r>
          </w:p>
          <w:p w14:paraId="780393D6">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四峰山文旅度假项目。项目位于鄂城区汀祖镇。依托石桥水库及四峰山，以农业为基础，文旅为核心，产业为体系，一二三产联动协调，打造集现代农业、休闲旅游、田园社区、养生康复为一体的田园综合体。</w:t>
            </w:r>
          </w:p>
          <w:p w14:paraId="179CA804">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3.</w:t>
            </w:r>
            <w:r>
              <w:rPr>
                <w:rFonts w:hint="eastAsia" w:ascii="仿宋_GB2312" w:hAnsi="楷体" w:eastAsia="仿宋_GB2312"/>
                <w:color w:val="000000"/>
              </w:rPr>
              <w:t>梁子湖旅游民宿项目。大力推进梁子岛黄鹰嘴民宿项目、刘斌高家咀民宿项目、余湾民宿项目建设，依托优质生态旅游资源，着力包装邱山民宿项目、梁子湖南岸民宿项目。</w:t>
            </w:r>
          </w:p>
          <w:p w14:paraId="5023FC50">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4.</w:t>
            </w:r>
            <w:r>
              <w:rPr>
                <w:rFonts w:hint="eastAsia" w:ascii="仿宋_GB2312" w:hAnsi="楷体" w:eastAsia="仿宋_GB2312"/>
                <w:color w:val="000000"/>
              </w:rPr>
              <w:t>前海湖渔猎主题农业公园项目。选址梁子湖区东沟镇、沼山镇的前海湖片区，规划范围</w:t>
            </w:r>
            <w:r>
              <w:rPr>
                <w:rFonts w:ascii="仿宋_GB2312" w:hAnsi="楷体" w:eastAsia="仿宋_GB2312"/>
                <w:color w:val="000000"/>
              </w:rPr>
              <w:t>18</w:t>
            </w:r>
            <w:r>
              <w:rPr>
                <w:rFonts w:hint="eastAsia" w:ascii="仿宋_GB2312" w:hAnsi="楷体" w:eastAsia="仿宋_GB2312"/>
                <w:color w:val="000000"/>
              </w:rPr>
              <w:t>平方公。项目以自然景观为依托，生态保护为前提，与梁子湖（岛）全域旅游开发规划相衔接，开发集生态旅游、农业产品、商务休闲、文化体验于一体，开发建设与生态保护相平衡的渔猎主题农业公园。</w:t>
            </w:r>
          </w:p>
          <w:p w14:paraId="41774D35">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5.</w:t>
            </w:r>
            <w:r>
              <w:rPr>
                <w:rFonts w:hint="eastAsia" w:ascii="仿宋_GB2312" w:hAnsi="楷体" w:eastAsia="仿宋_GB2312"/>
                <w:color w:val="000000"/>
              </w:rPr>
              <w:t>十个特色旅游村。峒山村、岳石洪村、路口村、武圣村、石竹村、中湾村、大桥村、熊易村、余湾村、楠竹村。</w:t>
            </w:r>
          </w:p>
          <w:p w14:paraId="7660463F">
            <w:pPr>
              <w:pStyle w:val="13"/>
              <w:shd w:val="clear" w:color="auto" w:fill="FFFFFF"/>
              <w:spacing w:before="0" w:beforeAutospacing="0" w:after="0" w:afterAutospacing="0" w:line="400" w:lineRule="exact"/>
              <w:ind w:firstLine="482"/>
              <w:rPr>
                <w:rFonts w:ascii="仿宋_GB2312" w:hAnsi="楷体"/>
                <w:color w:val="000000"/>
              </w:rPr>
            </w:pPr>
            <w:r>
              <w:rPr>
                <w:rFonts w:ascii="仿宋_GB2312" w:hAnsi="楷体" w:eastAsia="仿宋_GB2312"/>
                <w:color w:val="000000"/>
              </w:rPr>
              <w:t>6.</w:t>
            </w:r>
            <w:r>
              <w:rPr>
                <w:rFonts w:hint="eastAsia" w:ascii="仿宋_GB2312" w:hAnsi="楷体" w:eastAsia="仿宋_GB2312"/>
                <w:color w:val="000000"/>
              </w:rPr>
              <w:t>五个农文旅融合景区。鄂城区长港镇峒山村干部培训基地、鄂城区杜山镇仙台生态旅游景区、梁子湖区沼山镇王子生态旅游景区、梁子湖区梁子镇铜铁海景区、梁子湖区太和镇狮子口生态区。</w:t>
            </w:r>
          </w:p>
        </w:tc>
      </w:tr>
    </w:tbl>
    <w:p w14:paraId="59B134F4">
      <w:pPr>
        <w:spacing w:line="560" w:lineRule="exact"/>
        <w:ind w:firstLine="640" w:firstLineChars="200"/>
        <w:rPr>
          <w:rFonts w:ascii="仿宋_GB2312" w:hAnsi="楷体_GB2312" w:eastAsia="仿宋_GB2312" w:cs="仿宋_GB2312"/>
          <w:color w:val="000000"/>
          <w:kern w:val="0"/>
          <w:sz w:val="32"/>
          <w:szCs w:val="32"/>
        </w:rPr>
      </w:pPr>
    </w:p>
    <w:p w14:paraId="1C2DF16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打造文化旅游产品。促进文物文博旅游，强化博物馆的文化沉浸式体验。加强对全市文物保护单位的系统性保护修缮，推动有条件的文保单位创建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促进非遗旅游，充分发挥文化专家、非物质文化遗产传承人和民间艺人作用，将鄂州市特色文化符号融入景区、特色街区及公园建设，加强非遗工坊、非遗作品与旅游的结合，让非遗表演成为旅游演艺展示产品，让非遗工艺转化为旅游商品，让非遗传承人成为网络红人。促进文化娱乐业与旅游融合，积极培育旅游演艺、数字动漫、工艺美术、创意设计等文旅消费业态。适当引进知名演艺团体和经纪机构，举办艺术博览会、文化艺术节庆。支持莲花山智慧景区改造项目。推进莲花山景区创新沉浸式、交互式主题旅游演艺，培育具有区域影响力的音乐节、嘉年华、狂欢节等文化娱乐</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探索与电影传媒公司合作，在鄂州取景拍摄影视动漫等作品，提升鄂州知名度与美誉度。促进文创与旅游融合，挖掘鄂州传统文化艺术和制作技艺，促进旅游业与传统文化艺术、工艺深度融合，开发一批具有鄂州特色的文创商品，争取更多鄂州元素伴手礼、工艺品进入旅游市场。</w:t>
      </w:r>
    </w:p>
    <w:p w14:paraId="5E30115A">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42F01C24">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52F19926">
            <w:pPr>
              <w:spacing w:line="400" w:lineRule="exact"/>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3-4  </w:t>
            </w:r>
            <w:r>
              <w:rPr>
                <w:rFonts w:hint="eastAsia" w:ascii="仿宋_GB2312" w:hAnsi="楷体" w:eastAsia="仿宋_GB2312"/>
                <w:color w:val="000000"/>
                <w:sz w:val="24"/>
              </w:rPr>
              <w:t>文化旅游重点建设项目</w:t>
            </w:r>
          </w:p>
        </w:tc>
      </w:tr>
      <w:tr w14:paraId="413360C1">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4260676">
            <w:pPr>
              <w:pStyle w:val="13"/>
              <w:shd w:val="clear" w:color="auto" w:fill="FFFFFF"/>
              <w:spacing w:line="400" w:lineRule="exact"/>
              <w:ind w:firstLine="482"/>
              <w:rPr>
                <w:rFonts w:ascii="仿宋_GB2312" w:hAnsi="楷体" w:eastAsia="仿宋_GB2312"/>
                <w:color w:val="000000"/>
              </w:rPr>
            </w:pPr>
            <w:r>
              <w:rPr>
                <w:rFonts w:hint="eastAsia" w:ascii="仿宋_GB2312" w:hAnsi="楷体" w:eastAsia="仿宋_GB2312"/>
                <w:color w:val="000000"/>
              </w:rPr>
              <w:t>文化旅游重点建设项目：“吴都·乔街”文化旅游综合景区、莲花山智慧景区建设项目、鄂州老城区特色街区改造项目、长港河综合开发项目。</w:t>
            </w:r>
          </w:p>
        </w:tc>
      </w:tr>
    </w:tbl>
    <w:p w14:paraId="2ACAF989">
      <w:pPr>
        <w:spacing w:line="560" w:lineRule="exact"/>
        <w:ind w:firstLine="640" w:firstLineChars="200"/>
        <w:rPr>
          <w:rFonts w:ascii="仿宋_GB2312" w:hAnsi="楷体_GB2312" w:eastAsia="仿宋_GB2312" w:cs="仿宋_GB2312"/>
          <w:color w:val="000000"/>
          <w:kern w:val="0"/>
          <w:sz w:val="32"/>
          <w:szCs w:val="32"/>
        </w:rPr>
      </w:pPr>
    </w:p>
    <w:p w14:paraId="34906C4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）着力拓展</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大特色旅游产品</w:t>
      </w:r>
    </w:p>
    <w:p w14:paraId="279718E7">
      <w:pPr>
        <w:spacing w:line="560" w:lineRule="exact"/>
        <w:ind w:firstLine="640" w:firstLineChars="200"/>
        <w:rPr>
          <w:rFonts w:ascii="仿宋_GB2312" w:hAnsi="楷体_GB2312" w:eastAsia="仿宋_GB2312" w:cs="仿宋_GB2312"/>
          <w:color w:val="000000"/>
          <w:kern w:val="0"/>
          <w:sz w:val="32"/>
          <w:szCs w:val="32"/>
        </w:rPr>
      </w:pPr>
      <w:bookmarkStart w:id="103" w:name="_Toc102401528"/>
      <w:bookmarkStart w:id="104" w:name="_Toc96722268"/>
      <w:r>
        <w:rPr>
          <w:rFonts w:hint="eastAsia" w:ascii="仿宋_GB2312" w:hAnsi="楷体_GB2312" w:eastAsia="仿宋_GB2312" w:cs="仿宋_GB2312"/>
          <w:color w:val="000000"/>
          <w:kern w:val="0"/>
          <w:sz w:val="32"/>
          <w:szCs w:val="32"/>
        </w:rPr>
        <w:t>拓展康养旅游</w:t>
      </w:r>
      <w:bookmarkEnd w:id="103"/>
      <w:bookmarkEnd w:id="104"/>
      <w:r>
        <w:rPr>
          <w:rFonts w:hint="eastAsia" w:ascii="仿宋_GB2312" w:hAnsi="楷体_GB2312" w:eastAsia="仿宋_GB2312" w:cs="仿宋_GB2312"/>
          <w:color w:val="000000"/>
          <w:kern w:val="0"/>
          <w:sz w:val="32"/>
          <w:szCs w:val="32"/>
        </w:rPr>
        <w:t>产品。依托葛店“中国药谷”品牌优势，积极对接光谷南大健康产业园与环梁子湖生态健康产业，以“健康中国”建设为指引，聚焦健康产业、养老产业、医养融合和体育健身等领域，创新康养模式和产品，优化康养产业结构。以沼山、四峰山、白雉山、凤凰山等生态环境优美的森林资源为依托，积极策划一批包括森林游憩、森林康体等为代表的森林康养旅游项目。以梁子湖、红莲湖、花马湖等湖泊资源为依托，努力打造一批包括滨水理疗、滨湖度假、食疗（补）等多业态相融合的湖泊康养旅游项目。以全市广袤的田园作为载体，以农作、农事、农活为生活内容，新建一批回归自然、享受生命、修身养性的乡村康养旅游项目。</w:t>
      </w:r>
    </w:p>
    <w:p w14:paraId="0A1912D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红色旅游产品。系统梳理全市丰富的红色历史故事、红色历史事迹、红色人物传奇，丰富红色内涵，提炼红色精神，突出红色主题。开发红色旅游产品，打造红色旅游线路。建立红色旅游品牌，提升红色旅游景点的接待能力与服务水平。支持鼓励各红色旅游景区景点开发红色文创、红色体验、红色教育等富有红色文化底蕴的融合型产品，打造鄂州红色旅游品牌。创新“红色</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”旅游产品。突出红色旅游资源与古建筑旅游资源、生态旅游资源、民俗文化资源结合，形成以红色旅游为主题、旅游产品形式多样的红色旅游精品线路，将红色旅游打造成为全市旅游发展新的增长极。</w:t>
      </w:r>
    </w:p>
    <w:p w14:paraId="7DDB8DE6">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747C360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0FBD34ED">
            <w:pPr>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3-5  </w:t>
            </w:r>
            <w:r>
              <w:rPr>
                <w:rFonts w:hint="eastAsia" w:ascii="仿宋_GB2312" w:hAnsi="楷体" w:eastAsia="仿宋_GB2312"/>
                <w:color w:val="000000"/>
                <w:sz w:val="24"/>
              </w:rPr>
              <w:t>红色旅游重点建设项目</w:t>
            </w:r>
          </w:p>
        </w:tc>
      </w:tr>
      <w:tr w14:paraId="7EEA4BA9">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6B25F9A">
            <w:pPr>
              <w:pStyle w:val="13"/>
              <w:shd w:val="clear" w:color="auto" w:fill="FFFFFF"/>
              <w:spacing w:line="500" w:lineRule="exact"/>
              <w:ind w:firstLine="482"/>
              <w:rPr>
                <w:rFonts w:ascii="仿宋_GB2312" w:hAnsi="楷体" w:eastAsia="仿宋_GB2312"/>
                <w:color w:val="000000"/>
              </w:rPr>
            </w:pPr>
            <w:r>
              <w:rPr>
                <w:rFonts w:hint="eastAsia" w:ascii="仿宋_GB2312" w:hAnsi="楷体" w:eastAsia="仿宋_GB2312"/>
                <w:color w:val="000000"/>
              </w:rPr>
              <w:t>红色旅游重点建设项目：</w:t>
            </w:r>
            <w:r>
              <w:rPr>
                <w:rFonts w:hint="eastAsia" w:ascii="仿宋_GB2312" w:eastAsia="仿宋_GB2312" w:cs="仿宋_GB2312"/>
                <w:color w:val="000000"/>
              </w:rPr>
              <w:t>打造峒山红色旅游核心区。提升鄂南抗日根据地指挥中心旧址（麻羊垴）、市烈士陵园、北伐军二十军军部旧址、吴兆麟将军纪念馆、夏家榜、程正瀛故居、彭楚藩烈士墓、毛主席视察临江纪念馆。</w:t>
            </w:r>
          </w:p>
        </w:tc>
      </w:tr>
    </w:tbl>
    <w:p w14:paraId="2A293B80">
      <w:pPr>
        <w:spacing w:line="560" w:lineRule="exact"/>
        <w:ind w:firstLine="640" w:firstLineChars="200"/>
        <w:rPr>
          <w:rFonts w:ascii="仿宋_GB2312" w:hAnsi="楷体_GB2312" w:eastAsia="仿宋_GB2312" w:cs="仿宋_GB2312"/>
          <w:color w:val="000000"/>
          <w:kern w:val="0"/>
          <w:sz w:val="32"/>
          <w:szCs w:val="32"/>
        </w:rPr>
      </w:pPr>
    </w:p>
    <w:p w14:paraId="03125A2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美食旅游产品。加强鄂州地方特色菜的传承与创新，重点对鄂州武昌鱼、梁子湖大闸蟹、梁子湖湘莲、太和千张等的烹饪工艺进行深入研发、创新与推广，开发旅游餐饮与健康养生有机融合的系列菜肴体系，将美食旅游打造成鄂州旅游的新卖点。吸引国内知名餐饮品牌入驻鄂州，汇聚美食“名店”“名菜”“名厨”，传承中国传统美食文化。积极依托武昌鱼小镇策划梁子湖区武昌鱼烹饪大赛及各类美食</w:t>
      </w:r>
      <w:bookmarkStart w:id="105" w:name="_Toc91456796"/>
      <w:r>
        <w:rPr>
          <w:rFonts w:hint="eastAsia" w:ascii="仿宋_GB2312" w:hAnsi="楷体_GB2312" w:eastAsia="仿宋_GB2312" w:cs="仿宋_GB2312"/>
          <w:color w:val="000000"/>
          <w:kern w:val="0"/>
          <w:sz w:val="32"/>
          <w:szCs w:val="32"/>
        </w:rPr>
        <w:t>“名赛”“名节”，并与国内外点评类</w:t>
      </w:r>
      <w:r>
        <w:rPr>
          <w:rFonts w:ascii="仿宋_GB2312" w:hAnsi="楷体_GB2312" w:eastAsia="仿宋_GB2312" w:cs="仿宋_GB2312"/>
          <w:color w:val="000000"/>
          <w:kern w:val="0"/>
          <w:sz w:val="32"/>
          <w:szCs w:val="32"/>
        </w:rPr>
        <w:t>APP</w:t>
      </w:r>
      <w:r>
        <w:rPr>
          <w:rFonts w:hint="eastAsia" w:ascii="仿宋_GB2312" w:hAnsi="楷体_GB2312" w:eastAsia="仿宋_GB2312" w:cs="仿宋_GB2312"/>
          <w:color w:val="000000"/>
          <w:kern w:val="0"/>
          <w:sz w:val="32"/>
          <w:szCs w:val="32"/>
        </w:rPr>
        <w:t>合作推广。打造鄂州美食必吃榜，做大、做优鄂州美食品牌，力争“十四五”期间，鄂州能设置楚菜美食博览会分会场。</w:t>
      </w:r>
    </w:p>
    <w:p w14:paraId="18ACDC43">
      <w:pPr>
        <w:spacing w:line="560" w:lineRule="exact"/>
        <w:ind w:firstLine="640" w:firstLineChars="200"/>
        <w:rPr>
          <w:rFonts w:ascii="仿宋_GB2312" w:hAnsi="楷体_GB2312" w:eastAsia="仿宋_GB2312" w:cs="仿宋_GB2312"/>
          <w:color w:val="000000"/>
          <w:kern w:val="0"/>
          <w:sz w:val="32"/>
          <w:szCs w:val="32"/>
        </w:rPr>
      </w:pPr>
      <w:bookmarkStart w:id="106" w:name="_Toc102401529"/>
      <w:bookmarkStart w:id="107" w:name="_Toc96722269"/>
      <w:r>
        <w:rPr>
          <w:rFonts w:hint="eastAsia" w:ascii="仿宋_GB2312" w:hAnsi="楷体_GB2312" w:eastAsia="仿宋_GB2312" w:cs="仿宋_GB2312"/>
          <w:color w:val="000000"/>
          <w:kern w:val="0"/>
          <w:sz w:val="32"/>
          <w:szCs w:val="32"/>
        </w:rPr>
        <w:t>拓展体育旅游产品。强化体育旅游赛事引领，重点抓好鄂州国际马拉松赛、中国钓鱼大师明星赛、中国环梁子湖自行车赛、中国民间乒乓球球王争霸赛等品牌赛事。进一步策划和引进游客参与度高、具有鄂州特色的专项体育赛事。积极培育体育旅游产业，结合全民健身需求，发展鄂州特色的运动健身服务业。结合体育赛事活动，发展观赛参赛服务业。结合红莲湖国际水上运动训练基地、鄂州市青少年业余体校单项举重基地、湖北省足管中心鄂州青少年足球培训基地、省体职院青少年羽毛球培训基地的建设，发展体育训练配套产业链。结合户外运动、低空飞行需求，探索拓展专业运动旅游业态。鼓励发展体育旅游装备制造业，推进重大体育旅游项目建设。</w:t>
      </w:r>
    </w:p>
    <w:p w14:paraId="00EDB3FC">
      <w:pPr>
        <w:pStyle w:val="6"/>
        <w:spacing w:before="0" w:after="0" w:line="560" w:lineRule="exact"/>
        <w:ind w:firstLine="627" w:firstLineChars="196"/>
        <w:rPr>
          <w:rFonts w:ascii="仿宋_GB2312" w:eastAsia="仿宋_GB2312"/>
          <w:b w:val="0"/>
          <w:color w:val="000000"/>
        </w:rPr>
      </w:pPr>
      <w:bookmarkStart w:id="108" w:name="_Toc118988203"/>
      <w:r>
        <w:rPr>
          <w:rFonts w:ascii="仿宋_GB2312" w:eastAsia="仿宋_GB2312"/>
          <w:b w:val="0"/>
          <w:color w:val="000000"/>
        </w:rPr>
        <w:t>2.</w:t>
      </w:r>
      <w:r>
        <w:rPr>
          <w:rFonts w:hint="eastAsia" w:ascii="仿宋_GB2312" w:eastAsia="仿宋_GB2312"/>
          <w:b w:val="0"/>
          <w:color w:val="000000"/>
        </w:rPr>
        <w:t>强化旅游市场营销</w:t>
      </w:r>
      <w:bookmarkEnd w:id="105"/>
      <w:bookmarkEnd w:id="106"/>
      <w:bookmarkEnd w:id="107"/>
      <w:bookmarkEnd w:id="108"/>
    </w:p>
    <w:p w14:paraId="7EE2B9B8">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）树立整体旅游品牌</w:t>
      </w:r>
    </w:p>
    <w:p w14:paraId="3CB11E7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将鄂州作为整体旅游目的地进行宣传营销，突出“梁子湖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湖北省面积第二大的湖泊”“鄂州花湖机场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世界第四、亚洲第一、国内唯一的专业货运枢纽”等鄂州独有的品牌优势，进一步深化“空港新城·山水鄂州”的品牌影响力。针对境外市场，逐步扩大鄂州旅游知名度，适时研究推出具有境外游客号召力的宣传口号，探索航空＋旅游发展模式，推进鄂州航空旅游快速发展。</w:t>
      </w:r>
    </w:p>
    <w:p w14:paraId="708E4F2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）创新宣传营销方式</w:t>
      </w:r>
    </w:p>
    <w:p w14:paraId="31A1B28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企业合作营销战略。一是加强旅游行业合作。加强景区、旅行社、旅游饭店、旅游交通、旅游购物、旅游电商等企业间的合作，直接向市场终端融合渗透。二是加强与新闻媒体合作。适时组织国内主要新闻媒体记者来鄂州开展采访采风活动。实施新媒体整合策略。加大与国家级、省级媒体、新媒体合作，加强与主流</w:t>
      </w:r>
      <w:r>
        <w:rPr>
          <w:rFonts w:ascii="仿宋_GB2312" w:hAnsi="楷体_GB2312" w:eastAsia="仿宋_GB2312" w:cs="仿宋_GB2312"/>
          <w:color w:val="000000"/>
          <w:kern w:val="0"/>
          <w:sz w:val="32"/>
          <w:szCs w:val="32"/>
        </w:rPr>
        <w:t>OTA</w:t>
      </w:r>
      <w:r>
        <w:rPr>
          <w:rFonts w:hint="eastAsia" w:ascii="仿宋_GB2312" w:hAnsi="楷体_GB2312" w:eastAsia="仿宋_GB2312" w:cs="仿宋_GB2312"/>
          <w:color w:val="000000"/>
          <w:kern w:val="0"/>
          <w:sz w:val="32"/>
          <w:szCs w:val="32"/>
        </w:rPr>
        <w:t>平台的深度合作，推动事件营销与流量营销相结合，整合各方资源配合线上线下主题活动，借助图文、短视频、直播等宣传方式，激活全市旅游消费各个环节。三是加强武鄂黄黄都市圈合作。依托武鄂黄黄都市圈和花湖机场客运航空优势，联合武鄂黄黄或都市圈内其他城市，到北京、上海、深圳、厦门、广州、天津、重庆、西安等知名城市开展鄂州文化旅游推介活动。四是加强省内区域合作。重点针对武汉城市圈的客源市场开展联合促销活动，将鄂州市有代表性的旅游景区纳入大武汉旅游年卡（包括普通联卡与自驾游卡），建立资源互享、客源互送、线路互推、政策互惠、信息互通、产品互补、效益互享的旅游合作发展新格局。五是依托知名平台加强合作。充分利用中国文博会、深圳文博会、长江经济带、长江国家文化公园等已有的区域合作平台，积极推介宣传鄂州。六是实施跨界战略合作。联合银行、航空公司进行“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”跨界合作，联合航空公司推出“机票</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酒店”航空套票产品，通过银行信用卡主题营销、航空公司会员促销活动等方式，聚焦中高端净值人群的精准营销。</w:t>
      </w:r>
    </w:p>
    <w:p w14:paraId="29DCAF2F">
      <w:pPr>
        <w:pStyle w:val="6"/>
        <w:spacing w:before="0" w:after="0" w:line="560" w:lineRule="exact"/>
        <w:ind w:firstLine="627" w:firstLineChars="196"/>
        <w:rPr>
          <w:rFonts w:ascii="仿宋_GB2312" w:eastAsia="仿宋_GB2312"/>
          <w:b w:val="0"/>
          <w:color w:val="000000"/>
        </w:rPr>
      </w:pPr>
      <w:bookmarkStart w:id="109" w:name="_Toc96722270"/>
      <w:bookmarkStart w:id="110" w:name="_Toc118988204"/>
      <w:bookmarkStart w:id="111" w:name="_Toc102401530"/>
      <w:bookmarkStart w:id="112" w:name="_Toc91456797"/>
      <w:r>
        <w:rPr>
          <w:rFonts w:ascii="仿宋_GB2312" w:eastAsia="仿宋_GB2312"/>
          <w:b w:val="0"/>
          <w:color w:val="000000"/>
        </w:rPr>
        <w:t>3.</w:t>
      </w:r>
      <w:r>
        <w:rPr>
          <w:rFonts w:hint="eastAsia" w:ascii="仿宋_GB2312" w:eastAsia="仿宋_GB2312"/>
          <w:b w:val="0"/>
          <w:color w:val="000000"/>
        </w:rPr>
        <w:t>完善旅游配套设施</w:t>
      </w:r>
      <w:bookmarkEnd w:id="109"/>
      <w:bookmarkEnd w:id="110"/>
      <w:bookmarkEnd w:id="111"/>
      <w:bookmarkEnd w:id="112"/>
    </w:p>
    <w:p w14:paraId="5F383AD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）提供便利交通</w:t>
      </w:r>
    </w:p>
    <w:p w14:paraId="62095B4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积极推进武鄂轨道交通同城化。推动武汉地铁</w:t>
      </w:r>
      <w:r>
        <w:rPr>
          <w:rFonts w:ascii="仿宋_GB2312" w:hAnsi="楷体_GB2312" w:eastAsia="仿宋_GB2312" w:cs="仿宋_GB2312"/>
          <w:color w:val="000000"/>
          <w:kern w:val="0"/>
          <w:sz w:val="32"/>
          <w:szCs w:val="32"/>
        </w:rPr>
        <w:t>30</w:t>
      </w:r>
      <w:r>
        <w:rPr>
          <w:rFonts w:hint="eastAsia" w:ascii="仿宋_GB2312" w:hAnsi="楷体_GB2312" w:eastAsia="仿宋_GB2312" w:cs="仿宋_GB2312"/>
          <w:color w:val="000000"/>
          <w:kern w:val="0"/>
          <w:sz w:val="32"/>
          <w:szCs w:val="32"/>
        </w:rPr>
        <w:t>号线向鄂州红莲湖、梧桐湖延伸。积极推进武阳高速公路鄂州段、武汉新港高速公路鄂州段建设，配合武汉推进武汉城市圈大通道南端（江夏至鄂州）项目前期研究设计及沪渝高速武汉至鄂州段改扩建工程。加速鄂州与光谷交通全面对接畅通，全面提升鄂州旅游公路服务水平。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形成以高速公路和国省干线公路为骨架，以县乡公路和旅游专用公路为网络，以乡村公路为补充，以各级旅游集散中心为节点，旅游板块内外有效衔接，等级结构合理，游客运输能力显著提高的公路交通架构，形成安全、便利、协调、绿色的旅游公路网络。大力提升景区通达性。实现</w:t>
      </w:r>
      <w:r>
        <w:rPr>
          <w:rFonts w:ascii="仿宋_GB2312" w:hAnsi="楷体_GB2312" w:eastAsia="仿宋_GB2312" w:cs="仿宋_GB2312"/>
          <w:color w:val="000000"/>
          <w:kern w:val="0"/>
          <w:sz w:val="32"/>
          <w:szCs w:val="32"/>
        </w:rPr>
        <w:t>4A</w:t>
      </w:r>
      <w:r>
        <w:rPr>
          <w:rFonts w:hint="eastAsia" w:ascii="仿宋_GB2312" w:hAnsi="楷体_GB2312" w:eastAsia="仿宋_GB2312" w:cs="仿宋_GB2312"/>
          <w:color w:val="000000"/>
          <w:kern w:val="0"/>
          <w:sz w:val="32"/>
          <w:szCs w:val="32"/>
        </w:rPr>
        <w:t>级景区通达二级及以上公路，一般景区通达三级公路，景区内部道路以四级公路或以人行步道的形式连通。按照进得来、出得去、走得通的原则，大力实施旅游畅通工程。</w:t>
      </w:r>
    </w:p>
    <w:p w14:paraId="51BF1F3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）拓展住宿空间</w:t>
      </w:r>
    </w:p>
    <w:p w14:paraId="33D9F1D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提升酒店管理服务品质。支持中高端度假酒店发展，提升星级和度假酒店服务品质。大力发展旅游民宿，创新发展品质民宿，吸引专业公司、平台进驻，打造一批品质优良、带有本土文化特征和设计感的高端民宿。鼓励农户改造自用住宅休闲空间，有序发展主题民宿客栈。大力发展特色民宿，鼓励民宿企业积极开展等级创建工作。结合生态旅游发展新业态，探索生态产品价值实现机制，鼓励发展自驾车营地、帐篷酒店、特色家庭旅馆及生态、文化主题酒店等新型住宿业态。探索发展共享住宿，鼓励依托共享短租平台发展共享住宿。制定符合鄂州本地特色的共享住宿标准化管理流程和行业监管模式。推动使用标准化住宿服务电子合同和评价体系，规范房屋分时租赁经营。</w:t>
      </w:r>
    </w:p>
    <w:p w14:paraId="3FFAC36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）完善其他公共服务设施</w:t>
      </w:r>
    </w:p>
    <w:p w14:paraId="5DFEF7F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推进旅游标识系统改造工程。进一步完善国道、省道、县道及其他旅游通道的交通标识设置。推进机场、车站、码头、停车场、旅游厕所、旅游集散中心、景区、酒店等公共场所标识标牌建设。实现</w:t>
      </w:r>
      <w:r>
        <w:rPr>
          <w:rFonts w:ascii="仿宋_GB2312" w:hAnsi="楷体_GB2312" w:eastAsia="仿宋_GB2312" w:cs="仿宋_GB2312"/>
          <w:color w:val="000000"/>
          <w:kern w:val="0"/>
          <w:sz w:val="32"/>
          <w:szCs w:val="32"/>
        </w:rPr>
        <w:t>3A</w:t>
      </w:r>
      <w:r>
        <w:rPr>
          <w:rFonts w:hint="eastAsia" w:ascii="仿宋_GB2312" w:hAnsi="楷体_GB2312" w:eastAsia="仿宋_GB2312" w:cs="仿宋_GB2312"/>
          <w:color w:val="000000"/>
          <w:kern w:val="0"/>
          <w:sz w:val="32"/>
          <w:szCs w:val="32"/>
        </w:rPr>
        <w:t>级及以上旅游景区、高星级宾馆酒店的多语种标识标牌服务全覆盖。优化旅游停车配套。在重要交通枢纽、重点旅游景区、景点和游客集散重点区域设置生态停车场，配套面向自驾游客群的智慧停车系统、充电桩设施、餐饮服务点等。完善旅游咨询服务体系。加快旅游服务中心和旅游咨询服务点建设，加强旅游服务中心三级体系建设，原则上每个区配置一个旅游服务中心。积极推进鄂州花湖机场游客集散服务设施建设，打造面向航空出行游客的旅游集散服务中心。推进旅游厕所建设提升。对陈旧老化的旅游厕所升级改造，实现</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旅游度假区、旅游集散中心的厕所全部达标，加强各区旅游厕所日常化管理。完善应急服务设施，参照旅游发达国家和地区建设标准，配备多语种服务的急救车及相关紧急救援设施，完善应急救援公共服务体系。</w:t>
      </w:r>
    </w:p>
    <w:p w14:paraId="2F93101D">
      <w:pPr>
        <w:pStyle w:val="6"/>
        <w:spacing w:before="0" w:after="0" w:line="560" w:lineRule="exact"/>
        <w:ind w:firstLine="627" w:firstLineChars="196"/>
        <w:rPr>
          <w:rFonts w:ascii="仿宋_GB2312" w:eastAsia="仿宋_GB2312"/>
          <w:b w:val="0"/>
          <w:color w:val="000000"/>
        </w:rPr>
      </w:pPr>
      <w:bookmarkStart w:id="113" w:name="_Toc96722271"/>
      <w:bookmarkStart w:id="114" w:name="_Toc91456798"/>
      <w:bookmarkStart w:id="115" w:name="_Toc102401531"/>
      <w:bookmarkStart w:id="116" w:name="_Toc118988205"/>
      <w:r>
        <w:rPr>
          <w:rFonts w:ascii="仿宋_GB2312" w:eastAsia="仿宋_GB2312"/>
          <w:b w:val="0"/>
          <w:color w:val="000000"/>
        </w:rPr>
        <w:t>4.</w:t>
      </w:r>
      <w:r>
        <w:rPr>
          <w:rFonts w:hint="eastAsia" w:ascii="仿宋_GB2312" w:eastAsia="仿宋_GB2312"/>
          <w:b w:val="0"/>
          <w:color w:val="000000"/>
        </w:rPr>
        <w:t>推进全域旅游升级</w:t>
      </w:r>
      <w:bookmarkEnd w:id="113"/>
      <w:bookmarkEnd w:id="114"/>
      <w:bookmarkEnd w:id="115"/>
      <w:bookmarkEnd w:id="116"/>
    </w:p>
    <w:p w14:paraId="573F177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）扩大中高端旅游消费</w:t>
      </w:r>
    </w:p>
    <w:p w14:paraId="33526D4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一是延长游客停留时间。鼓励有条件的旅游景区适当延长开放时间，鼓励开发时尚夜游项目，丰富康养度假、品质乡村旅居产品，完善全时、全季旅游产品体系，力争游客人均停留天数达到</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天以上。二是吸引中高消费力人群。积极引进知名酒店品牌，适当关注社区交往型、小众型消费群体需求，吸引高净值、中高收入人群来鄂州度假，促进高端旅游消费，为构筑中长期高品质的竞争力打下基础。三是提高旅游消费质量和水平。优化旅游消费品结构，大力发展高质量、高附加值旅游消费品，不断提高旅游商品档次，引导旅游消费从基础消费到附加值高的精品消费转变。在湖泊度假与文化体验等旅游细分领域扩大竞争优势，提升服务水平，打造符合高端消费需求的优质旅游产品与业态。力争到“十四五”期末，全市游客人均消费达到</w:t>
      </w:r>
      <w:r>
        <w:rPr>
          <w:rFonts w:ascii="仿宋_GB2312" w:hAnsi="楷体_GB2312" w:eastAsia="仿宋_GB2312" w:cs="仿宋_GB2312"/>
          <w:color w:val="000000"/>
          <w:kern w:val="0"/>
          <w:sz w:val="32"/>
          <w:szCs w:val="32"/>
        </w:rPr>
        <w:t>1000</w:t>
      </w:r>
      <w:r>
        <w:rPr>
          <w:rFonts w:hint="eastAsia" w:ascii="仿宋_GB2312" w:hAnsi="楷体_GB2312" w:eastAsia="仿宋_GB2312" w:cs="仿宋_GB2312"/>
          <w:color w:val="000000"/>
          <w:kern w:val="0"/>
          <w:sz w:val="32"/>
          <w:szCs w:val="32"/>
        </w:rPr>
        <w:t>元以上。</w:t>
      </w:r>
    </w:p>
    <w:p w14:paraId="1875314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）加强“旅游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”融合互促</w:t>
      </w:r>
    </w:p>
    <w:p w14:paraId="3F75D00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一是加快旅游与教育融合。丰富生态和文化研学旅游产品，引导旅游景区、文化场馆、乡村农园和各类景区景点拓展研学旅游功能。开发红色研学旅游产品，依托全市</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家省级国防教育基地、</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家省级爱国主义教育基地、</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家县（区）级爱国主义教育基地，做大红色教育与研学。二是加快旅游与工业融合。依托落户鄂州的武汉万吨·华中冷链港、红莲湖大数据产业园、葛店动漫小镇、鄂钢工业文旅小镇等特色园区和基地，通过在园区和基地中融入旅游元素，积极发展以新兴工业观光和体验为重点的工业旅游。加大鄂州工业文旅小镇项目的规划设计和招商引资力度，秉持工业、人文、自然“三位一体”的发展理念，集合工业旅游、研学教育、数字文创、健康养生、休闲娱乐等功能，将鄂钢文旅小镇打造成省级工业旅游示范基。大力发展旅游装备制造业、户外用品等特色旅游商品，引进一批旅游设施、旅游用品等制造企业。三是加快旅游与互联网融合。将旅游业培育成为数字化较活跃的前沿产业，用数字化武装旅游，推进旅游创新能力、提升旅游管理能力。四是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新型城镇化”模式。大力发展特色旅游城镇，推进“旅游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大众创业、万众创新”，引导返乡农民工、大学毕业生和专业技术人员自主创业，在全市形成一批旅游创客基地。</w:t>
      </w:r>
    </w:p>
    <w:p w14:paraId="450D194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）探索发展航空旅游业态</w:t>
      </w:r>
    </w:p>
    <w:p w14:paraId="3C7F455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依托鄂州花湖机场资源优势，探索“航空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旅游”模式。增强花湖机场连接国际枢纽机场的能力，开通国际货运航线</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条左右、国内航线</w:t>
      </w:r>
      <w:r>
        <w:rPr>
          <w:rFonts w:ascii="仿宋_GB2312" w:hAnsi="楷体_GB2312" w:eastAsia="仿宋_GB2312" w:cs="仿宋_GB2312"/>
          <w:color w:val="000000"/>
          <w:kern w:val="0"/>
          <w:sz w:val="32"/>
          <w:szCs w:val="32"/>
        </w:rPr>
        <w:t>50</w:t>
      </w:r>
      <w:r>
        <w:rPr>
          <w:rFonts w:hint="eastAsia" w:ascii="仿宋_GB2312" w:hAnsi="楷体_GB2312" w:eastAsia="仿宋_GB2312" w:cs="仿宋_GB2312"/>
          <w:color w:val="000000"/>
          <w:kern w:val="0"/>
          <w:sz w:val="32"/>
          <w:szCs w:val="32"/>
        </w:rPr>
        <w:t>条左右。至</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年，实现年旅客吞吐量</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万人次、货邮吞吐量</w:t>
      </w:r>
      <w:r>
        <w:rPr>
          <w:rFonts w:ascii="仿宋_GB2312" w:hAnsi="楷体_GB2312" w:eastAsia="仿宋_GB2312" w:cs="仿宋_GB2312"/>
          <w:color w:val="000000"/>
          <w:kern w:val="0"/>
          <w:sz w:val="32"/>
          <w:szCs w:val="32"/>
        </w:rPr>
        <w:t>245</w:t>
      </w:r>
      <w:r>
        <w:rPr>
          <w:rFonts w:hint="eastAsia" w:ascii="仿宋_GB2312" w:hAnsi="楷体_GB2312" w:eastAsia="仿宋_GB2312" w:cs="仿宋_GB2312"/>
          <w:color w:val="000000"/>
          <w:kern w:val="0"/>
          <w:sz w:val="32"/>
          <w:szCs w:val="32"/>
        </w:rPr>
        <w:t>万吨的目标。引进“航空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旅游”承接产业项目，以更高的运行效率、更好的服务水平、更强的市场能力主动融入到行业间的合作，谋求文旅产业更好更快发展。构建以旅客需求为驱动、以“航空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业为核心、以航旅上下游产业为支撑、以航旅新兴产业为衍生的发展平台，有效推动花湖机场和旅游两大行业的加速发展，更好地满足于人民群众对航空、旅游出行的美好需求。以“航空新城、山水鄂州”为主题，主动作为，以鄂州花湖机场开航为契机，协调推进机场公司、市民航办、景区、旅行社、星级酒店深入合作和对外推介，通过发挥优势、资源共享，加大对开通航线的城市进行对外宣传推介，打造鄂州航空文旅产品品牌，联合武汉、黄石和黄冈，开展“武鄂黄黄”航空文旅推广活动，共同开发“武鄂黄黄”航旅市场，加速资源共享、信息互推、客源互送，促进鄂东片区文旅产业高质量发展，推进武汉都市圈融合发展。</w:t>
      </w:r>
    </w:p>
    <w:p w14:paraId="531A91B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）发展夜间旅游</w:t>
      </w:r>
    </w:p>
    <w:p w14:paraId="01FC89F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夜游休闲空间。培育一批夜间市集、夜游集聚区。推出特色鲜明、环境友好的夜间美食街、酒吧街，打造集夜间美食、购物和娱乐等功能于一体的商业街区和夜游消费业态集聚区，形成鄂州旅游新供给。推进鄂州特色街区和商业步行街改造，依托南浦路、建设街、吴都古肆等特色街区，培育夜间经济圈，升腾人间烟火气。丰富夜间娱乐项目。鼓励各类经营主体拓展夜游项目，在便民不扰民的前提下，鼓励开展形式多样、内容丰富的夜间演艺活动。支持夜间市集等夜间促销活动。积极开发夜间旅游网红打卡地。升级夜游配套设施。对洋澜湖、滨江公园等市区公共活动空间进行夜景提升，强化夜间停车、夜间公共交通、夜间节会活动的信息引导，完善夜间活动个性化推荐功能服务，设置夜间分时停车位，优化夜游停车收费标准，提升夜间旅游安全保障。</w:t>
      </w:r>
    </w:p>
    <w:p w14:paraId="39FA9929">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）加快标准化建设</w:t>
      </w:r>
    </w:p>
    <w:p w14:paraId="6FFD19F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申报与创建一批在旅游市场上影响力大、竞争力强的</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级景区、生态文明建设示范区、省级全域旅游示范区、省级旅游名镇名村、乡村休闲游示范村，打响鄂州区域旅游品牌。鼓励各区委托第三方专业机构对相关创建工作进行评估辅导，提高创建成功率。</w:t>
      </w:r>
    </w:p>
    <w:p w14:paraId="57C44B9F">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0E15D3C">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6" w:hRule="atLeast"/>
          <w:jc w:val="center"/>
        </w:trPr>
        <w:tc>
          <w:tcPr>
            <w:tcW w:w="8522" w:type="dxa"/>
            <w:vAlign w:val="center"/>
          </w:tcPr>
          <w:p w14:paraId="4A2C9587">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3-6  </w:t>
            </w:r>
            <w:r>
              <w:rPr>
                <w:rFonts w:hint="eastAsia" w:ascii="仿宋_GB2312" w:hAnsi="楷体" w:eastAsia="仿宋_GB2312"/>
                <w:color w:val="000000"/>
                <w:sz w:val="24"/>
              </w:rPr>
              <w:t>旅游标准化创建工程计划</w:t>
            </w:r>
          </w:p>
        </w:tc>
      </w:tr>
      <w:tr w14:paraId="3A1E0897">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58" w:hRule="atLeast"/>
          <w:jc w:val="center"/>
        </w:trPr>
        <w:tc>
          <w:tcPr>
            <w:tcW w:w="8522" w:type="dxa"/>
          </w:tcPr>
          <w:p w14:paraId="25EE8307">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1.AAAA</w:t>
            </w:r>
            <w:r>
              <w:rPr>
                <w:rFonts w:hint="eastAsia" w:ascii="仿宋_GB2312" w:eastAsia="仿宋_GB2312" w:cs="仿宋_GB2312"/>
                <w:color w:val="000000"/>
                <w:kern w:val="0"/>
                <w:sz w:val="24"/>
              </w:rPr>
              <w:t>级景区：梁子岛生态旅游区（复牌）、“吴都·乔街”文化旅游综合景区、西山风景区、台湾杏福生态园、鄂州园博园景区、红莲湖康体度假区；</w:t>
            </w:r>
          </w:p>
          <w:p w14:paraId="1171FAEB">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2.AAA</w:t>
            </w:r>
            <w:r>
              <w:rPr>
                <w:rFonts w:hint="eastAsia" w:ascii="仿宋_GB2312" w:eastAsia="仿宋_GB2312" w:cs="仿宋_GB2312"/>
                <w:color w:val="000000"/>
                <w:kern w:val="0"/>
                <w:sz w:val="24"/>
              </w:rPr>
              <w:t>级景区：峒山景区、熊易万亩葵园景区、</w:t>
            </w:r>
            <w:r>
              <w:rPr>
                <w:rFonts w:hint="eastAsia" w:ascii="仿宋_GB2312" w:eastAsia="仿宋_GB2312" w:cs="仿宋_GB2312"/>
                <w:kern w:val="0"/>
                <w:sz w:val="24"/>
              </w:rPr>
              <w:t>湖北鄂州铜铁海景区、半岛计划、梁湖花海旅游景区、相约万古</w:t>
            </w:r>
            <w:r>
              <w:rPr>
                <w:rFonts w:ascii="?????" w:hAnsi="?????" w:cs="?????"/>
                <w:kern w:val="0"/>
                <w:sz w:val="24"/>
              </w:rPr>
              <w:t>·</w:t>
            </w:r>
            <w:r>
              <w:rPr>
                <w:rFonts w:hint="eastAsia" w:ascii="仿宋_GB2312" w:eastAsia="仿宋_GB2312" w:cs="仿宋_GB2312"/>
                <w:kern w:val="0"/>
                <w:sz w:val="24"/>
              </w:rPr>
              <w:t>抖音直播带货基地、</w:t>
            </w:r>
            <w:r>
              <w:rPr>
                <w:rFonts w:hint="eastAsia" w:ascii="仿宋_GB2312" w:eastAsia="仿宋_GB2312" w:cs="仿宋_GB2312"/>
                <w:color w:val="000000"/>
                <w:kern w:val="0"/>
                <w:sz w:val="24"/>
              </w:rPr>
              <w:t>沼山泉天牡丹花谷、沼山王子生态园景区、鄂钢工业旅游景区；</w:t>
            </w:r>
          </w:p>
          <w:p w14:paraId="693BD43A">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国家乡村重点旅游村：峒山村、岳石洪村；</w:t>
            </w:r>
          </w:p>
          <w:p w14:paraId="21B380B5">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湖北省旅游名镇：汀祖镇；</w:t>
            </w:r>
          </w:p>
          <w:p w14:paraId="07E2D929">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湖北省旅游名村：张远村、大桥村、；</w:t>
            </w:r>
          </w:p>
          <w:p w14:paraId="2D998E0D">
            <w:pPr>
              <w:spacing w:line="400" w:lineRule="exact"/>
              <w:ind w:firstLine="470" w:firstLineChars="196"/>
              <w:rPr>
                <w:rFonts w:ascii="仿宋_GB2312" w:eastAsia="仿宋_GB2312" w:cs="仿宋_GB2312"/>
                <w:kern w:val="0"/>
                <w:sz w:val="24"/>
              </w:rPr>
            </w:pPr>
            <w:r>
              <w:rPr>
                <w:rFonts w:ascii="仿宋_GB2312" w:eastAsia="仿宋_GB2312" w:cs="仿宋_GB2312"/>
                <w:color w:val="000000"/>
                <w:kern w:val="0"/>
                <w:sz w:val="24"/>
              </w:rPr>
              <w:t>6.</w:t>
            </w:r>
            <w:r>
              <w:rPr>
                <w:rFonts w:hint="eastAsia" w:ascii="仿宋_GB2312" w:eastAsia="仿宋_GB2312" w:cs="仿宋_GB2312"/>
                <w:color w:val="000000"/>
                <w:kern w:val="0"/>
                <w:sz w:val="24"/>
              </w:rPr>
              <w:t>湖北省全域旅游示范区</w:t>
            </w:r>
            <w:r>
              <w:rPr>
                <w:rFonts w:hint="eastAsia" w:ascii="仿宋_GB2312" w:eastAsia="仿宋_GB2312" w:cs="仿宋_GB2312"/>
                <w:kern w:val="0"/>
                <w:sz w:val="24"/>
              </w:rPr>
              <w:t>：梁子湖区；</w:t>
            </w:r>
          </w:p>
          <w:p w14:paraId="6BEFCE26">
            <w:pPr>
              <w:spacing w:line="400" w:lineRule="exact"/>
              <w:ind w:firstLine="470" w:firstLineChars="196"/>
            </w:pPr>
            <w:r>
              <w:rPr>
                <w:rFonts w:ascii="仿宋_GB2312" w:eastAsia="仿宋_GB2312" w:cs="仿宋_GB2312"/>
                <w:color w:val="000000"/>
                <w:kern w:val="0"/>
                <w:sz w:val="24"/>
              </w:rPr>
              <w:t>7.</w:t>
            </w:r>
            <w:r>
              <w:rPr>
                <w:rFonts w:hint="eastAsia" w:ascii="仿宋_GB2312" w:eastAsia="仿宋_GB2312" w:cs="仿宋_GB2312"/>
                <w:color w:val="000000"/>
                <w:kern w:val="0"/>
                <w:sz w:val="24"/>
              </w:rPr>
              <w:t>省级工业旅游示范基地：鄂钢工业旅游景区。</w:t>
            </w:r>
          </w:p>
        </w:tc>
      </w:tr>
    </w:tbl>
    <w:p w14:paraId="4ADC5F3C">
      <w:pPr>
        <w:pStyle w:val="2"/>
      </w:pPr>
      <w:bookmarkStart w:id="117" w:name="_Toc96722272"/>
      <w:bookmarkStart w:id="118" w:name="_Toc102401532"/>
    </w:p>
    <w:p w14:paraId="50C20807">
      <w:pPr>
        <w:pStyle w:val="5"/>
        <w:spacing w:before="0" w:after="0" w:line="560" w:lineRule="exact"/>
        <w:ind w:firstLine="643" w:firstLineChars="200"/>
        <w:rPr>
          <w:rFonts w:ascii="宋体" w:hAnsi="宋体" w:eastAsia="宋体" w:cs="宋体"/>
          <w:bCs w:val="0"/>
          <w:color w:val="000000"/>
        </w:rPr>
      </w:pPr>
      <w:bookmarkStart w:id="119" w:name="_Toc118988206"/>
      <w:r>
        <w:rPr>
          <w:rFonts w:hint="eastAsia" w:ascii="宋体" w:hAnsi="宋体" w:eastAsia="宋体" w:cs="宋体"/>
          <w:bCs w:val="0"/>
          <w:color w:val="000000"/>
        </w:rPr>
        <w:t>（三）坚持融合发展，振兴体育事业产业</w:t>
      </w:r>
      <w:bookmarkEnd w:id="117"/>
      <w:bookmarkEnd w:id="118"/>
      <w:bookmarkEnd w:id="119"/>
    </w:p>
    <w:p w14:paraId="595D6CC0">
      <w:pPr>
        <w:pStyle w:val="6"/>
        <w:spacing w:before="0" w:after="0" w:line="560" w:lineRule="exact"/>
        <w:ind w:firstLine="627" w:firstLineChars="196"/>
        <w:rPr>
          <w:rFonts w:ascii="仿宋_GB2312" w:eastAsia="仿宋_GB2312"/>
          <w:b w:val="0"/>
          <w:color w:val="000000"/>
        </w:rPr>
      </w:pPr>
      <w:bookmarkStart w:id="120" w:name="_Toc96722273"/>
      <w:bookmarkStart w:id="121" w:name="_Toc102401533"/>
      <w:bookmarkStart w:id="122" w:name="_Toc118988207"/>
      <w:r>
        <w:rPr>
          <w:rFonts w:ascii="仿宋_GB2312" w:eastAsia="仿宋_GB2312"/>
          <w:b w:val="0"/>
          <w:color w:val="000000"/>
        </w:rPr>
        <w:t>1.</w:t>
      </w:r>
      <w:r>
        <w:rPr>
          <w:rFonts w:hint="eastAsia" w:ascii="仿宋_GB2312" w:eastAsia="仿宋_GB2312"/>
          <w:b w:val="0"/>
          <w:color w:val="000000"/>
        </w:rPr>
        <w:t>全面提升体育事业水平</w:t>
      </w:r>
      <w:bookmarkEnd w:id="120"/>
      <w:bookmarkEnd w:id="121"/>
      <w:bookmarkEnd w:id="122"/>
    </w:p>
    <w:p w14:paraId="5F554E6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）构建更高水平的全民健身公共服务体系</w:t>
      </w:r>
    </w:p>
    <w:p w14:paraId="165CBBC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夯实社区全民健身基础。编制出台《全民健身实施计划》，将全民健身公共服务、全民健身基础设施建设、社会体育组织建设纳入社区服务体系，通过多种方式为每个社区配备至少</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名社会体育指导员。健全社区体育组织，设立活动站点，培育一批融入社区的基层体育俱乐部和运动协会。搭建社区体育服务平台，提供多层次、多元化的体育健身服务，开展社区运动会、社区体育公益课堂、体质监测等多样化的活动，加强体卫融合和非医疗健康干预，促进重点人群参与体育运动，满足当下社区居民多样化的健身需求。</w:t>
      </w:r>
    </w:p>
    <w:p w14:paraId="4C641E4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群众体育健身产品供给。打造具有鄂州特色的全民健身活动，积极申办举办省级及以上体育赛事活动，培育具有广泛影响力的群众体育赛事品牌，提升鄂州整体体育品牌影响力。持续开展适应青少年、妇女、老年人、农民、职工等群体的全民健身活动。继续举办好鄂州市运动会、鄂州市职工运动会、鄂州市中小学生运动会等丰富多样的群众性体育赛事。大力发展群众喜闻乐见的运动项目，支持举办球类、路跑、游泳、自行车等大众广泛参与的体育赛事活动。大力推动户外运动发展。传承弘扬传统、民间体育项目，做强棋牌、健身气功、武术等品牌民俗项目。</w:t>
      </w:r>
    </w:p>
    <w:p w14:paraId="7AB4F2C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推动户外运动发展。适时启动户外运动产业发展规划的编制。开展自然资源向户外运动开放试点，制定在可利用的水域、空域、林地等自然区域内允许开展户外运动活动目录。鼓励户外装备制造企业向服务业延伸发展。持续培育特色运动。支持旅游景区拓展体育旅游项目，开展登山、徒步、垂钓、露营等休闲体育运动项目，鼓励国内旅行社结合休闲体育项目和体育赛事活动设计开发旅游产品和路线。</w:t>
      </w:r>
    </w:p>
    <w:p w14:paraId="3437210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营造崇尚体育健身氛围。加强新修订的《体育法》普法宣传。定期开展国民体质测试，加大体育参与和运动促进健康理念的宣传推广力度，广泛开展体质健康与健身知识普及，如广场舞、毽球、乒乓球等，养成常态化的大众健身习惯。鼓励市民参加</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项健身活动以及培养终身运动的习惯。以举办全民健身系列赛事活动为抓手，多角度宣传体育休闲，营造全民健身文化氛围、创新全民健身理念。</w:t>
      </w:r>
    </w:p>
    <w:p w14:paraId="698FBD6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）深化竞技体育建设，实现竞技体育发展方式有效转变</w:t>
      </w:r>
    </w:p>
    <w:p w14:paraId="78E0CAE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优化项目结构，做好重大赛事的备战与参赛工作。强化优势竞技体育项目，在武术、举重等鄂州优势项目上，争取达到全省领先水平。加强乒乓球、游泳、摔跤等传统项目发展。充分利用红莲湖作为国际水上运动训练基地，发展水上运动竞技项目。狠抓备战工作的综合协调组织保障。完善运动员文化教育与保障体系。不断改善办学条件，完善机构设置，配备足够教师，为运动员九年义务教育及高职体育教育提供保障。推动业余体校向“三集中”（训练、学习、食宿集中）办学模式积极转型。推动鄂州足球事业良性发展。大力发展各类足球俱乐部，进一步提高足球人口比例。强化足球教练和后备人才培养，依托湖北省足管中心鄂州青少年足球培训基地、湖北省足球技术学校鄂州分校、鄂州市足球学校，逐步打造全省重要的足球人才培养和输送基地。优化全市各类足球场地设施，吸引众多国内外职业球队来鄂州训练与竞技。</w:t>
      </w:r>
    </w:p>
    <w:p w14:paraId="07FF6AD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）深入推进体教融合，开创青少年体育工作新局面</w:t>
      </w:r>
    </w:p>
    <w:p w14:paraId="444B990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构建青少年体育发展新体系。将智慧型校园体育场地设施建设纳入全市体育基础设施建设总体规划，为青少年体育发展提供保障。贯彻落实《关于深化体教融合</w:t>
      </w:r>
      <w:r>
        <w:rPr>
          <w:rFonts w:ascii="仿宋_GB2312" w:hAnsi="楷体_GB2312" w:eastAsia="仿宋_GB2312" w:cs="仿宋_GB2312"/>
          <w:color w:val="000000"/>
          <w:kern w:val="0"/>
          <w:sz w:val="32"/>
          <w:szCs w:val="32"/>
        </w:rPr>
        <w:t xml:space="preserve"> </w:t>
      </w:r>
      <w:r>
        <w:rPr>
          <w:rFonts w:hint="eastAsia" w:ascii="仿宋_GB2312" w:hAnsi="楷体_GB2312" w:eastAsia="仿宋_GB2312" w:cs="仿宋_GB2312"/>
          <w:color w:val="000000"/>
          <w:kern w:val="0"/>
          <w:sz w:val="32"/>
          <w:szCs w:val="32"/>
        </w:rPr>
        <w:t>促进青少年健康发展的意见》，联合教育部门，提高青少年体育素养及参与意识，使青少年体育公共服务能力显著增强、体育活动条件大力改善、体育组织网络更加完善。健全青少年体育风险管理体系，完善青少年校外体育活动安全管理制度。争创湖北省体教融合示范区，加强省级传统体育学校和市级体教融合基地建设，构建“一校一品”“一校多品”的学校体育新格局，建立健全优秀体育后备人才升学通道。构建青少年体育竞赛活动体系，开展篮足排等项目联赛，举办篮足排、摔跤、乒乓球、游泳等公益冬夏令营。推动社会力量参与提供青少年体育培训及体育中介服务活动。</w:t>
      </w:r>
    </w:p>
    <w:p w14:paraId="757BE6D1">
      <w:pPr>
        <w:pStyle w:val="6"/>
        <w:spacing w:before="0" w:after="0" w:line="560" w:lineRule="exact"/>
        <w:ind w:firstLine="627" w:firstLineChars="196"/>
        <w:rPr>
          <w:rFonts w:ascii="仿宋_GB2312" w:eastAsia="仿宋_GB2312"/>
          <w:b w:val="0"/>
          <w:color w:val="000000"/>
        </w:rPr>
      </w:pPr>
      <w:bookmarkStart w:id="123" w:name="_Toc96722274"/>
      <w:bookmarkStart w:id="124" w:name="_Toc102401534"/>
      <w:bookmarkStart w:id="125" w:name="_Toc118988208"/>
      <w:r>
        <w:rPr>
          <w:rFonts w:ascii="仿宋_GB2312" w:eastAsia="仿宋_GB2312"/>
          <w:b w:val="0"/>
          <w:color w:val="000000"/>
        </w:rPr>
        <w:t>2.</w:t>
      </w:r>
      <w:r>
        <w:rPr>
          <w:rFonts w:hint="eastAsia" w:ascii="仿宋_GB2312" w:eastAsia="仿宋_GB2312"/>
          <w:b w:val="0"/>
          <w:color w:val="000000"/>
        </w:rPr>
        <w:t>构建特色体育产业体系</w:t>
      </w:r>
      <w:bookmarkEnd w:id="123"/>
      <w:bookmarkEnd w:id="124"/>
      <w:bookmarkEnd w:id="125"/>
    </w:p>
    <w:p w14:paraId="1A3D9FA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）夯实体育产业基础</w:t>
      </w:r>
    </w:p>
    <w:p w14:paraId="66CFCC5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专项体育休闲产品。构建以水上、滨湖、骑行、登山、马拉松、低空等运动为主题，以体育休闲公园、体育运动基地、户外精品线路为载体的常规化体育休闲产品。大力发展体育训练培训产品。以各类体育运动、训练、竞赛、培训基地及单项体育俱乐部为依托，拓展体育训练及培训服务，形成以皮划艇、足球、篮球、排球、网球、乒乓球、羽毛球、高尔夫、跆拳道、举重、田径、游泳、垂钓、滑板、街舞、桥牌、围棋和健身气功等项目为主的专项体育教培产品。加大政府购买公共体育服务力度。鼓励退役运动员、教练员和其它社会力量进入体育培训市场，培育一批有影响力和知名度的体育培训机构。履行政府监管职责，发挥运动项目协会行业引领作用，推动体育培训市场健康发展。积极拓展场馆服务业，依托鄂州体育中心积极拓展场馆服务领域，延伸配套服务，积极发展体育会展、体育旅游等新业态，支持</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、物联网、互联网等技术应用于体育场馆运营管理之中，打造特色鲜明、功能多元、智慧型的体育服务综合体。推进“互联网</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健身”，丰富线上线下相结合的全民健身活动，支持线上运动平台发展，带动常态化疫情防控下居家健身和网络赛事活动，拉动相关消费。</w:t>
      </w:r>
    </w:p>
    <w:p w14:paraId="704CF31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）发展体育特色产业</w:t>
      </w:r>
    </w:p>
    <w:p w14:paraId="61485EE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巩固“健体型”运动健康产业，扶持健身、足球、篮球、排球、乒乓球、羽毛球、网球、游泳、田径等专项运动俱乐部，山地探险、户外拓展等户外运动俱乐部，高尔夫、垂钓钓、龙舟、低空飞行等专项运动以及相关健康产业的发展。</w:t>
      </w:r>
    </w:p>
    <w:p w14:paraId="753C0E2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）培育体育文化消费产品</w:t>
      </w:r>
    </w:p>
    <w:p w14:paraId="44061A9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文化体育产业示范基地建设。鼓励体育赛事直播平台、线上体育培训等新业态发展，策划体育综艺、直播、电竞、体育文化交流等项目，创新体育客户端，实现线上线下互动体验。征集鄂州体育品牌形象，集中征集体育品牌形象</w:t>
      </w:r>
      <w:r>
        <w:rPr>
          <w:rFonts w:ascii="仿宋_GB2312" w:hAnsi="楷体_GB2312" w:eastAsia="仿宋_GB2312" w:cs="仿宋_GB2312"/>
          <w:color w:val="000000"/>
          <w:kern w:val="0"/>
          <w:sz w:val="32"/>
          <w:szCs w:val="32"/>
        </w:rPr>
        <w:t>LOGO</w:t>
      </w:r>
      <w:r>
        <w:rPr>
          <w:rFonts w:hint="eastAsia" w:ascii="仿宋_GB2312" w:hAnsi="楷体_GB2312" w:eastAsia="仿宋_GB2312" w:cs="仿宋_GB2312"/>
          <w:color w:val="000000"/>
          <w:kern w:val="0"/>
          <w:sz w:val="32"/>
          <w:szCs w:val="32"/>
        </w:rPr>
        <w:t>，设计体育</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文创产品，推出鄂州体育礼物，鼓励开设鄂州体育纪念品专营店，强化鄂州体育品牌形象。积极培育运动器材制造业，围绕全市各类运动训练基地、高尔夫球场及梁子湖、红莲湖、花马湖等地的垂钓区，培育发展高端皮划艇、游泳、高尔夫用具、钓鱼用具等运动器材制造。</w:t>
      </w:r>
    </w:p>
    <w:p w14:paraId="10A4E4A3">
      <w:pPr>
        <w:pStyle w:val="6"/>
        <w:spacing w:before="0" w:after="0" w:line="560" w:lineRule="exact"/>
        <w:ind w:firstLine="627" w:firstLineChars="196"/>
        <w:rPr>
          <w:rFonts w:ascii="仿宋_GB2312" w:eastAsia="仿宋_GB2312"/>
          <w:b w:val="0"/>
          <w:color w:val="000000"/>
        </w:rPr>
      </w:pPr>
      <w:bookmarkStart w:id="126" w:name="_Toc118988209"/>
      <w:bookmarkStart w:id="127" w:name="_Toc96722275"/>
      <w:bookmarkStart w:id="128" w:name="_Toc102401535"/>
      <w:r>
        <w:rPr>
          <w:rFonts w:ascii="仿宋_GB2312" w:eastAsia="仿宋_GB2312"/>
          <w:b w:val="0"/>
          <w:color w:val="000000"/>
        </w:rPr>
        <w:t>3.</w:t>
      </w:r>
      <w:r>
        <w:rPr>
          <w:rFonts w:hint="eastAsia" w:ascii="仿宋_GB2312" w:eastAsia="仿宋_GB2312"/>
          <w:b w:val="0"/>
          <w:color w:val="000000"/>
        </w:rPr>
        <w:t>深化体育和旅游融合</w:t>
      </w:r>
      <w:bookmarkEnd w:id="126"/>
      <w:bookmarkEnd w:id="127"/>
      <w:bookmarkEnd w:id="128"/>
    </w:p>
    <w:p w14:paraId="4AB7C3E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水上休闲运动产品。大力开发龙舟、赛艇、游泳、水上航模、水上拖伞、水上摩托艇等水上体育娱乐产品。拓展山地休闲运动产品。发展定向运动、登山探险、野外生存等山地体育健身产品。适当发展户外极限运动产品。可以俱乐部的形式适当发展水上飞人、低空飞行、山地自行车等极限运动产品。</w:t>
      </w:r>
    </w:p>
    <w:p w14:paraId="2BBA9259">
      <w:pPr>
        <w:pStyle w:val="6"/>
        <w:spacing w:before="0" w:after="0" w:line="560" w:lineRule="exact"/>
        <w:ind w:firstLine="627" w:firstLineChars="196"/>
        <w:rPr>
          <w:rFonts w:ascii="仿宋_GB2312" w:eastAsia="仿宋_GB2312"/>
          <w:b w:val="0"/>
          <w:color w:val="000000"/>
        </w:rPr>
      </w:pPr>
      <w:bookmarkStart w:id="129" w:name="_Toc102401536"/>
      <w:bookmarkStart w:id="130" w:name="_Toc96722276"/>
      <w:bookmarkStart w:id="131" w:name="_Toc118988210"/>
      <w:r>
        <w:rPr>
          <w:rFonts w:ascii="仿宋_GB2312" w:eastAsia="仿宋_GB2312"/>
          <w:b w:val="0"/>
          <w:color w:val="000000"/>
        </w:rPr>
        <w:t>4.</w:t>
      </w:r>
      <w:r>
        <w:rPr>
          <w:rFonts w:hint="eastAsia" w:ascii="仿宋_GB2312" w:eastAsia="仿宋_GB2312"/>
          <w:b w:val="0"/>
          <w:color w:val="000000"/>
        </w:rPr>
        <w:t>推动体育改革创新工作</w:t>
      </w:r>
      <w:bookmarkEnd w:id="129"/>
      <w:bookmarkEnd w:id="130"/>
      <w:bookmarkEnd w:id="131"/>
    </w:p>
    <w:p w14:paraId="4189D8F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）加快推动群众体育工作创新发展</w:t>
      </w:r>
    </w:p>
    <w:p w14:paraId="225190A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加强体育行政部门对体育社会组织的政策引导和监督管理。推进市级单项协会改革创新，形成科学管理、运行规范、党建有力的体育协会管理体系。将运动项目的推广普及作为对单项体育协会的主要评价指标。</w:t>
      </w:r>
    </w:p>
    <w:p w14:paraId="0E51F0C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）推动竞技体育改革创新发展</w:t>
      </w:r>
    </w:p>
    <w:p w14:paraId="6DA2566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转变政府职能，着力构建目标明确、责任到位、措施得当、管理规范、评价有据、奖罚分明的竞技体育管理体制和运行机制，进一步完善《鄂州市竞技体育奖励办法》。鼓励各区、企业、协会及其他社会力量重点发展符合本区实际、具有区域特点的竞技体育项目，促进鄂州竞技体育快速发展。</w:t>
      </w:r>
    </w:p>
    <w:p w14:paraId="2A2BF49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）完善竞技体育后备人才培养体系</w:t>
      </w:r>
    </w:p>
    <w:p w14:paraId="60B91A0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竞技体育人才队伍建设，推进与知名体育组织、体育俱乐部展开战略合作，科学引进先进的青少年训练体系，引进高水平教练员和裁判员。充分发挥学校作为竞技体育后备人才培养的重要阵地。建立健全各类体育人才库，建立多元化教练员和后备人才培养体系，完善后备人才培养的组织运行机制。</w:t>
      </w:r>
    </w:p>
    <w:p w14:paraId="72D01B0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）构建青少年体育师资队伍发展新模式</w:t>
      </w:r>
    </w:p>
    <w:p w14:paraId="1B21C50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推进学校设立体育教练员岗位，探索“体育教师</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体育教练员”岗位设置模式，广泛培养吸纳各类体育人才，鼓励优秀退役运动员从事体育教学工作，打通优秀退役运动员进入校园通道，加强体育教师和教练队伍等青少年师资队伍建设。</w:t>
      </w:r>
    </w:p>
    <w:p w14:paraId="39882436">
      <w:pPr>
        <w:pStyle w:val="5"/>
        <w:spacing w:before="0" w:after="0" w:line="560" w:lineRule="exact"/>
        <w:ind w:firstLine="630" w:firstLineChars="196"/>
        <w:rPr>
          <w:rFonts w:ascii="宋体" w:hAnsi="宋体" w:eastAsia="宋体" w:cs="宋体"/>
          <w:bCs w:val="0"/>
          <w:color w:val="000000"/>
        </w:rPr>
      </w:pPr>
      <w:bookmarkStart w:id="132" w:name="_Toc102401537"/>
      <w:bookmarkStart w:id="133" w:name="_Toc118988211"/>
      <w:bookmarkStart w:id="134" w:name="_Toc96722277"/>
      <w:r>
        <w:rPr>
          <w:rFonts w:hint="eastAsia" w:ascii="宋体" w:hAnsi="宋体" w:eastAsia="宋体" w:cs="宋体"/>
          <w:bCs w:val="0"/>
          <w:color w:val="000000"/>
        </w:rPr>
        <w:t>（四）把握正确导向，谋划广电视听发展新格局</w:t>
      </w:r>
      <w:bookmarkEnd w:id="132"/>
      <w:bookmarkEnd w:id="133"/>
      <w:bookmarkEnd w:id="134"/>
    </w:p>
    <w:p w14:paraId="0E85AF5C">
      <w:pPr>
        <w:pStyle w:val="6"/>
        <w:spacing w:before="0" w:after="0" w:line="560" w:lineRule="exact"/>
        <w:ind w:firstLine="627" w:firstLineChars="196"/>
        <w:rPr>
          <w:rFonts w:ascii="仿宋_GB2312" w:eastAsia="仿宋_GB2312"/>
          <w:b w:val="0"/>
          <w:color w:val="000000"/>
        </w:rPr>
      </w:pPr>
      <w:bookmarkStart w:id="135" w:name="_Toc118988212"/>
      <w:r>
        <w:rPr>
          <w:rFonts w:ascii="仿宋_GB2312" w:eastAsia="仿宋_GB2312"/>
          <w:b w:val="0"/>
          <w:color w:val="000000"/>
        </w:rPr>
        <w:t>1.</w:t>
      </w:r>
      <w:r>
        <w:rPr>
          <w:rFonts w:hint="eastAsia" w:ascii="仿宋_GB2312" w:eastAsia="仿宋_GB2312"/>
          <w:b w:val="0"/>
          <w:color w:val="000000"/>
        </w:rPr>
        <w:t>加强主流舆论宣传，传播主流价值观</w:t>
      </w:r>
      <w:bookmarkEnd w:id="135"/>
    </w:p>
    <w:p w14:paraId="722E3BC8">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入贯彻党的十九大、二十大精神，坚持以党的领导为首要政治任务，实施舆论引导能力提升。围绕与结合党和国家重要时间节点，超前谋划、有序衔接，做大做强广播电视和网络视听主题主线宣传，实现网上网下同频共振、同向发力，唱响新时代主旋律最强音。面向百年新征程，推出更多有影响、有分量的主旋律作品，用更生动、更贴近、更感人的方式讲好鄂州故事，打造具有强大传播力、引导力、影响力、公信力的新型主流媒体。坚决守好意识形态主阵地，把党管宣传、党管意识形态，党管媒体贯彻始终，牢牢把握正确的政治方向、舆论导向、价值取向，传播好党的声音和主张。</w:t>
      </w:r>
    </w:p>
    <w:p w14:paraId="784623F8">
      <w:pPr>
        <w:pStyle w:val="6"/>
        <w:spacing w:before="0" w:after="0" w:line="560" w:lineRule="exact"/>
        <w:ind w:firstLine="627" w:firstLineChars="196"/>
        <w:rPr>
          <w:rFonts w:ascii="仿宋_GB2312" w:eastAsia="仿宋_GB2312"/>
          <w:b w:val="0"/>
          <w:color w:val="000000"/>
        </w:rPr>
      </w:pPr>
      <w:bookmarkStart w:id="136" w:name="_Toc118988213"/>
      <w:r>
        <w:rPr>
          <w:rFonts w:ascii="仿宋_GB2312" w:eastAsia="仿宋_GB2312"/>
          <w:b w:val="0"/>
          <w:color w:val="000000"/>
        </w:rPr>
        <w:t>2.</w:t>
      </w:r>
      <w:r>
        <w:rPr>
          <w:rFonts w:hint="eastAsia" w:ascii="仿宋_GB2312" w:eastAsia="仿宋_GB2312"/>
          <w:b w:val="0"/>
          <w:color w:val="000000"/>
        </w:rPr>
        <w:t>提高作品创作品质，优化广电视听体验</w:t>
      </w:r>
      <w:bookmarkEnd w:id="136"/>
    </w:p>
    <w:p w14:paraId="404C3F6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整合鄂州文化、旅游、体育、广电资源，注重地域特色精品创作。不断提升作品的思想高度和精神高度，提高原创精品内容生产能力。建立健全的精品网络视听作品创作发展机制，编制“鄂州市网络视听节目精品创作计划”。引导公益广告精品创作。建立和完善广播电视公益广告创作机制，打造一批能够突出展示与发扬鄂州精神，弘扬社会主义核心价值观和中华优秀传统文化的优秀公益广告精品，力争每年组织全市制作</w:t>
      </w:r>
      <w:r>
        <w:rPr>
          <w:rFonts w:ascii="仿宋_GB2312" w:hAnsi="楷体_GB2312" w:eastAsia="仿宋_GB2312" w:cs="仿宋_GB2312"/>
          <w:color w:val="000000"/>
          <w:kern w:val="0"/>
          <w:sz w:val="32"/>
          <w:szCs w:val="32"/>
        </w:rPr>
        <w:t>2-3</w:t>
      </w:r>
      <w:r>
        <w:rPr>
          <w:rFonts w:hint="eastAsia" w:ascii="仿宋_GB2312" w:hAnsi="楷体_GB2312" w:eastAsia="仿宋_GB2312" w:cs="仿宋_GB2312"/>
          <w:color w:val="000000"/>
          <w:kern w:val="0"/>
          <w:sz w:val="32"/>
          <w:szCs w:val="32"/>
        </w:rPr>
        <w:t>部以上广播电视公益广告作品。</w:t>
      </w:r>
    </w:p>
    <w:p w14:paraId="78D00D71">
      <w:pPr>
        <w:pStyle w:val="6"/>
        <w:spacing w:before="0" w:after="0" w:line="560" w:lineRule="exact"/>
        <w:ind w:firstLine="627" w:firstLineChars="196"/>
        <w:rPr>
          <w:rFonts w:ascii="仿宋_GB2312" w:eastAsia="仿宋_GB2312"/>
          <w:b w:val="0"/>
          <w:color w:val="000000"/>
        </w:rPr>
      </w:pPr>
      <w:bookmarkStart w:id="137" w:name="_Toc102401539"/>
      <w:bookmarkStart w:id="138" w:name="_Toc96722279"/>
      <w:bookmarkStart w:id="139" w:name="_Toc118988214"/>
      <w:r>
        <w:rPr>
          <w:rFonts w:ascii="仿宋_GB2312" w:eastAsia="仿宋_GB2312"/>
          <w:b w:val="0"/>
          <w:color w:val="000000"/>
        </w:rPr>
        <w:t>3.</w:t>
      </w:r>
      <w:bookmarkEnd w:id="137"/>
      <w:bookmarkEnd w:id="138"/>
      <w:r>
        <w:rPr>
          <w:rFonts w:hint="eastAsia" w:ascii="仿宋_GB2312" w:eastAsia="仿宋_GB2312"/>
          <w:b w:val="0"/>
          <w:color w:val="000000"/>
        </w:rPr>
        <w:t>壮大新型主流媒体，构建现代广电传播体系</w:t>
      </w:r>
      <w:bookmarkEnd w:id="139"/>
    </w:p>
    <w:p w14:paraId="7B24309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传统媒体与新媒体的深度融合。坚持移动优先、一体发展，坚持多屏互动、矩阵传播，坚持平台与网络并用、内容与服务并重，推动广播电视媒体与新兴媒体在信息内容、技术应用、平台终端、管理手段上共融共通。加快智慧广播电视发展。着眼于广播电视智慧化发展，全面推进全市广播电视高清制播能力建设，实现市级台高清化改造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及地面数字电视</w:t>
      </w:r>
      <w:r>
        <w:rPr>
          <w:rFonts w:ascii="仿宋_GB2312" w:hAnsi="楷体_GB2312" w:eastAsia="仿宋_GB2312" w:cs="仿宋_GB2312"/>
          <w:color w:val="000000"/>
          <w:kern w:val="0"/>
          <w:sz w:val="32"/>
          <w:szCs w:val="32"/>
        </w:rPr>
        <w:t>700</w:t>
      </w:r>
      <w:r>
        <w:rPr>
          <w:rFonts w:hint="eastAsia" w:ascii="仿宋_GB2312" w:hAnsi="楷体_GB2312" w:eastAsia="仿宋_GB2312" w:cs="仿宋_GB2312"/>
          <w:color w:val="000000"/>
          <w:kern w:val="0"/>
          <w:sz w:val="32"/>
          <w:szCs w:val="32"/>
        </w:rPr>
        <w:t>兆赫频率迁移完成率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借助移动新媒体的传播优势和平台优势，加快传统媒体转型升级，实现全媒体、多平台、多终端采编播能力显著提高。通过平台终端、人才队伍的共享融通，形成一体化的组织机构、传播体系和管理机制。加快流程再造、平台再造、体制机制再造，着力打造融媒体服务、智慧化传播的新型主流媒体。推动构建高清、</w:t>
      </w:r>
      <w:r>
        <w:rPr>
          <w:rFonts w:ascii="仿宋_GB2312" w:hAnsi="楷体_GB2312" w:eastAsia="仿宋_GB2312" w:cs="仿宋_GB2312"/>
          <w:color w:val="000000"/>
          <w:kern w:val="0"/>
          <w:sz w:val="32"/>
          <w:szCs w:val="32"/>
        </w:rPr>
        <w:t>4K</w:t>
      </w:r>
      <w:r>
        <w:rPr>
          <w:rFonts w:hint="eastAsia" w:ascii="仿宋_GB2312" w:hAnsi="楷体_GB2312" w:eastAsia="仿宋_GB2312" w:cs="仿宋_GB2312"/>
          <w:color w:val="000000"/>
          <w:kern w:val="0"/>
          <w:sz w:val="32"/>
          <w:szCs w:val="32"/>
        </w:rPr>
        <w:t>超高清电视混合播出系统。进一步完善区级融媒体中心的建设，积极推动融合媒体制播云平台和融合媒体服务云平台建设及移动多媒体交互广播电视网建设，构建宽带、融合、安全的新一代广电信息化基础设施和现代传播体系。</w:t>
      </w:r>
    </w:p>
    <w:p w14:paraId="6AC3E054">
      <w:pPr>
        <w:pStyle w:val="6"/>
        <w:spacing w:before="0" w:after="0" w:line="560" w:lineRule="exact"/>
        <w:ind w:firstLine="627" w:firstLineChars="196"/>
        <w:rPr>
          <w:rFonts w:ascii="仿宋_GB2312" w:eastAsia="仿宋_GB2312"/>
          <w:b w:val="0"/>
          <w:color w:val="000000"/>
        </w:rPr>
      </w:pPr>
      <w:bookmarkStart w:id="140" w:name="_Toc118988215"/>
      <w:r>
        <w:rPr>
          <w:rFonts w:ascii="仿宋_GB2312" w:eastAsia="仿宋_GB2312"/>
          <w:b w:val="0"/>
          <w:color w:val="000000"/>
        </w:rPr>
        <w:t>4.</w:t>
      </w:r>
      <w:r>
        <w:rPr>
          <w:rFonts w:hint="eastAsia" w:ascii="仿宋_GB2312" w:eastAsia="仿宋_GB2312"/>
          <w:b w:val="0"/>
          <w:color w:val="000000"/>
        </w:rPr>
        <w:t>加强业态整合创新，提升广电产业融合效能</w:t>
      </w:r>
      <w:bookmarkEnd w:id="140"/>
    </w:p>
    <w:p w14:paraId="34409E4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强化行业融合。把握新技术革命机遇，努力寻求广播电视与政务、商务、教育、医疗、旅游、金融、农业、环保等相关行业合作与融合的有效路径，挖掘行业潜能，发展智慧经济，延伸业务范围，建立跨领域、跨行业、跨系统、跨部门的广播电视生态环境，推进鄂州广电网络参与“智慧鄂州”的建设。不断完善智能终端服务网络，协同推进公共文化设施数字化建设水平。结合旅游景区、历史文化遗迹，提供泛视听智慧化应用服务，促进文化旅游服务格局进一步升级。顺应广播电视网络视听与旅游、文化、体育产业融合大趋势，加强市场体系建设，打造高品质的广播电视产业融合发展样板，全面支撑鄂州文旅体广建设。</w:t>
      </w:r>
    </w:p>
    <w:p w14:paraId="6A35F869">
      <w:pPr>
        <w:pStyle w:val="5"/>
        <w:spacing w:before="0" w:after="0" w:line="560" w:lineRule="exact"/>
        <w:ind w:firstLine="630" w:firstLineChars="196"/>
        <w:rPr>
          <w:rFonts w:ascii="宋体" w:hAnsi="宋体" w:eastAsia="宋体" w:cs="宋体"/>
          <w:bCs w:val="0"/>
          <w:color w:val="000000"/>
        </w:rPr>
      </w:pPr>
      <w:bookmarkStart w:id="141" w:name="_Toc118988216"/>
      <w:r>
        <w:rPr>
          <w:rFonts w:hint="eastAsia" w:ascii="宋体" w:hAnsi="宋体" w:eastAsia="宋体" w:cs="宋体"/>
          <w:bCs w:val="0"/>
          <w:color w:val="000000"/>
        </w:rPr>
        <w:t>（五）助推全国文明典范城市创建</w:t>
      </w:r>
      <w:bookmarkEnd w:id="141"/>
    </w:p>
    <w:p w14:paraId="7AC8E790">
      <w:pPr>
        <w:pStyle w:val="6"/>
        <w:spacing w:before="0" w:after="0" w:line="560" w:lineRule="exact"/>
        <w:ind w:firstLine="627" w:firstLineChars="196"/>
        <w:rPr>
          <w:rFonts w:ascii="仿宋_GB2312" w:eastAsia="仿宋_GB2312"/>
          <w:b w:val="0"/>
          <w:color w:val="000000"/>
        </w:rPr>
      </w:pPr>
      <w:bookmarkStart w:id="142" w:name="_Toc118988217"/>
      <w:r>
        <w:rPr>
          <w:rFonts w:ascii="仿宋_GB2312" w:eastAsia="仿宋_GB2312"/>
          <w:b w:val="0"/>
          <w:color w:val="000000"/>
        </w:rPr>
        <w:t>1.</w:t>
      </w:r>
      <w:r>
        <w:rPr>
          <w:rFonts w:hint="eastAsia" w:ascii="仿宋_GB2312" w:eastAsia="仿宋_GB2312"/>
          <w:b w:val="0"/>
          <w:color w:val="000000"/>
        </w:rPr>
        <w:t>推进文明旅游，擦亮吴都文化新名片</w:t>
      </w:r>
      <w:bookmarkEnd w:id="142"/>
    </w:p>
    <w:p w14:paraId="084631E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健全完善鄂州市文明旅游工作联席会议制度，推动鄂州文明旅游工作制度化、常态化。整合线上线下旅游宣传渠道，拓展社会主义核心价值观宣传阵地，在</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级景区、星级酒店、旅游景点、公共文化体育、城市公园、城市广场场所等带头开展文明旅游宣传教育实践活动。推动文明旅游工作落实到旅行社、星级饭店、</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等相关单位。推动建立文明旅游督察引导机制，积极组织志愿者在法定节假日、重大节庆活动期间开展文明旅游和志愿服务宣传实践活动。强化旅游市场秩序整治和服务质量监管，畅通旅游投诉渠道，及时受理投诉案件，切实维护游客和经营者合法权益。</w:t>
      </w:r>
    </w:p>
    <w:p w14:paraId="55E6614B">
      <w:pPr>
        <w:pStyle w:val="6"/>
        <w:spacing w:before="0" w:after="0" w:line="560" w:lineRule="exact"/>
        <w:ind w:firstLine="627" w:firstLineChars="196"/>
        <w:rPr>
          <w:rFonts w:ascii="仿宋_GB2312" w:eastAsia="仿宋_GB2312"/>
          <w:b w:val="0"/>
          <w:color w:val="000000"/>
        </w:rPr>
      </w:pPr>
      <w:bookmarkStart w:id="143" w:name="_Toc118988218"/>
      <w:r>
        <w:rPr>
          <w:rFonts w:ascii="仿宋_GB2312" w:eastAsia="仿宋_GB2312"/>
          <w:b w:val="0"/>
          <w:color w:val="000000"/>
        </w:rPr>
        <w:t>2.</w:t>
      </w:r>
      <w:r>
        <w:rPr>
          <w:rFonts w:hint="eastAsia" w:ascii="仿宋_GB2312" w:eastAsia="仿宋_GB2312"/>
          <w:b w:val="0"/>
          <w:color w:val="000000"/>
        </w:rPr>
        <w:t>推进乡村振兴，助力城市文明提升</w:t>
      </w:r>
      <w:bookmarkEnd w:id="143"/>
    </w:p>
    <w:p w14:paraId="1DE31AC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弘扬优秀传统文化，释放乡村文化价值，助力乡村文化振兴，培育文明乡风，建立完善的乡村文化振兴体系。指导各区、乡镇、村（社区）文化活动中心、文明实践中心设置乡村光荣榜，挖掘乡村优秀传统文化内容，继承和发扬遵规守约、尊老爱幼、邻里互助、诚实守信等乡村良好习俗，加强农村思想道德建设和公共文化建设。指导村湾礼堂文化中心健康发展，制定乡规民约，倡导移风易俗，引导村民学法、守法。建设乡贤文化馆，创新乡贤文化，释放乡贤教化乡里、涵育乡风的价值，发挥乡贤在改变农村精神风貌中的作用。打破传统文化理念，融入文化产业化发展观念，提升文化附加值，延续乡土文化根脉。推动文化资源转化为文化产品，扶持一批具有历史、地域、民俗特点的旅游村镇，打造形式多样、特色鲜明的乡村旅游产品。</w:t>
      </w:r>
    </w:p>
    <w:p w14:paraId="3A11C12C">
      <w:pPr>
        <w:pStyle w:val="6"/>
        <w:spacing w:before="0" w:after="0" w:line="560" w:lineRule="exact"/>
        <w:ind w:firstLine="627" w:firstLineChars="196"/>
        <w:rPr>
          <w:rFonts w:ascii="仿宋_GB2312" w:eastAsia="仿宋_GB2312"/>
          <w:b w:val="0"/>
          <w:color w:val="000000"/>
        </w:rPr>
      </w:pPr>
      <w:bookmarkStart w:id="144" w:name="_Toc118988219"/>
      <w:r>
        <w:rPr>
          <w:rFonts w:ascii="仿宋_GB2312" w:eastAsia="仿宋_GB2312"/>
          <w:b w:val="0"/>
          <w:color w:val="000000"/>
        </w:rPr>
        <w:t>3.</w:t>
      </w:r>
      <w:r>
        <w:rPr>
          <w:rFonts w:hint="eastAsia" w:ascii="仿宋_GB2312" w:eastAsia="仿宋_GB2312"/>
          <w:b w:val="0"/>
          <w:color w:val="000000"/>
        </w:rPr>
        <w:t>推动红色文化与文明城市深度融合</w:t>
      </w:r>
      <w:bookmarkEnd w:id="144"/>
    </w:p>
    <w:p w14:paraId="514776B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公共文化场馆，搭建红色实践教育平台，形成红色文化传播教育新的空间载体。推进公共图书馆设置红色书籍专柜、红色书籍阅览区，开展红色阅读分享活动。深入开展“四史”教育，围绕鄂州革命文化、建设成就、抗疫精神等，打造一批社会主义核心价值观教育示范基地。强化教育引导、文化熏陶、宣传展示，提升爱国主义教育基地建管水平，打造一批中小学生红色研学旅游产品。</w:t>
      </w:r>
    </w:p>
    <w:p w14:paraId="4C760494">
      <w:pPr>
        <w:pStyle w:val="5"/>
        <w:spacing w:before="0" w:after="0" w:line="560" w:lineRule="exact"/>
        <w:ind w:firstLine="630" w:firstLineChars="196"/>
        <w:rPr>
          <w:rFonts w:ascii="宋体" w:hAnsi="宋体" w:eastAsia="宋体" w:cs="宋体"/>
          <w:bCs w:val="0"/>
          <w:color w:val="000000"/>
        </w:rPr>
      </w:pPr>
      <w:bookmarkStart w:id="145" w:name="_Toc118988220"/>
      <w:r>
        <w:rPr>
          <w:rFonts w:hint="eastAsia" w:ascii="宋体" w:hAnsi="宋体" w:eastAsia="宋体" w:cs="宋体"/>
          <w:bCs w:val="0"/>
          <w:color w:val="000000"/>
        </w:rPr>
        <w:t>（六）推进长江国家文化公园鄂州区域规划建设</w:t>
      </w:r>
      <w:bookmarkEnd w:id="145"/>
    </w:p>
    <w:p w14:paraId="414A49A2">
      <w:pPr>
        <w:pStyle w:val="6"/>
        <w:spacing w:before="0" w:after="0" w:line="560" w:lineRule="exact"/>
        <w:ind w:firstLine="627" w:firstLineChars="196"/>
        <w:rPr>
          <w:rFonts w:ascii="仿宋_GB2312" w:eastAsia="仿宋_GB2312"/>
          <w:b w:val="0"/>
          <w:color w:val="000000"/>
        </w:rPr>
      </w:pPr>
      <w:bookmarkStart w:id="146" w:name="_Toc118988221"/>
      <w:r>
        <w:rPr>
          <w:rFonts w:ascii="仿宋_GB2312" w:eastAsia="仿宋_GB2312"/>
          <w:b w:val="0"/>
          <w:color w:val="000000"/>
        </w:rPr>
        <w:t>1.</w:t>
      </w:r>
      <w:r>
        <w:rPr>
          <w:rFonts w:hint="eastAsia" w:ascii="仿宋_GB2312" w:eastAsia="仿宋_GB2312"/>
          <w:b w:val="0"/>
          <w:color w:val="000000"/>
        </w:rPr>
        <w:t>总体思路</w:t>
      </w:r>
      <w:bookmarkEnd w:id="146"/>
    </w:p>
    <w:p w14:paraId="50D45D05">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认真贯彻落实习近平总书记关于湖北工作的重要讲话和指示批示精神，积极贯彻落实《长江国家文化公园湖北段建设推进方案》工作要求，推进长江国家文化公园鄂州区域规划建设。明确在长江国家文化公园建设中的鄂州定位和使命担当，坚持保护优先、强化传承、文化引领、彰显特色原则，统筹鄂州资源禀赋、人文历史、区位特点和公众需求，以布局建设管控保护、主题展示、文旅融合、传统利用四大功能区为重点，推进鄂州长江文化创造性转化、创新性发展，带动鄂州长江沿线经济、社会、生态等各领域建设，探索新时代文物和文化资源保护传承利用新路径，争取长江国家文化公园湖北段嵌入更多的鄂州元素。</w:t>
      </w:r>
    </w:p>
    <w:p w14:paraId="1F132C0A">
      <w:pPr>
        <w:pStyle w:val="6"/>
        <w:spacing w:before="0" w:after="0" w:line="560" w:lineRule="exact"/>
        <w:ind w:firstLine="627" w:firstLineChars="196"/>
        <w:rPr>
          <w:rFonts w:ascii="仿宋_GB2312" w:eastAsia="仿宋_GB2312"/>
          <w:b w:val="0"/>
          <w:color w:val="000000"/>
        </w:rPr>
      </w:pPr>
      <w:bookmarkStart w:id="147" w:name="_Toc118988222"/>
      <w:r>
        <w:rPr>
          <w:rFonts w:ascii="仿宋_GB2312" w:eastAsia="仿宋_GB2312"/>
          <w:b w:val="0"/>
          <w:color w:val="000000"/>
        </w:rPr>
        <w:t>2.</w:t>
      </w:r>
      <w:r>
        <w:rPr>
          <w:rFonts w:hint="eastAsia" w:ascii="仿宋_GB2312" w:eastAsia="仿宋_GB2312"/>
          <w:b w:val="0"/>
          <w:color w:val="000000"/>
        </w:rPr>
        <w:t>重点规划建设区域</w:t>
      </w:r>
      <w:bookmarkEnd w:id="147"/>
    </w:p>
    <w:p w14:paraId="5E34EBD0">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主城区历史文化旅游核心区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kern w:val="0"/>
          <w:sz w:val="32"/>
          <w:szCs w:val="32"/>
        </w:rPr>
        <w:t>大梁子湖文化旅游度假区、鄂城、华容、梁子湖乡村旅游体验区</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rPr>
        <w:t>沿江沿湖文化旅游风光带</w:t>
      </w:r>
      <w:r>
        <w:rPr>
          <w:rFonts w:hint="eastAsia" w:ascii="仿宋_GB2312" w:hAnsi="仿宋_GB2312" w:eastAsia="仿宋_GB2312" w:cs="仿宋_GB2312"/>
          <w:sz w:val="32"/>
          <w:szCs w:val="32"/>
        </w:rPr>
        <w:t>等重点区域。</w:t>
      </w:r>
    </w:p>
    <w:p w14:paraId="2BD746F5">
      <w:pPr>
        <w:pStyle w:val="6"/>
        <w:spacing w:before="0" w:after="0" w:line="560" w:lineRule="exact"/>
        <w:ind w:firstLine="627" w:firstLineChars="196"/>
        <w:rPr>
          <w:rFonts w:ascii="仿宋_GB2312" w:eastAsia="仿宋_GB2312"/>
          <w:b w:val="0"/>
          <w:color w:val="000000"/>
        </w:rPr>
      </w:pPr>
      <w:bookmarkStart w:id="148" w:name="_Toc118988223"/>
      <w:r>
        <w:rPr>
          <w:rFonts w:ascii="仿宋_GB2312" w:eastAsia="仿宋_GB2312"/>
          <w:b w:val="0"/>
          <w:color w:val="000000"/>
        </w:rPr>
        <w:t>3.</w:t>
      </w:r>
      <w:r>
        <w:rPr>
          <w:rFonts w:hint="eastAsia" w:ascii="仿宋_GB2312" w:eastAsia="仿宋_GB2312"/>
          <w:b w:val="0"/>
          <w:color w:val="000000"/>
        </w:rPr>
        <w:t>规划建设目标</w:t>
      </w:r>
      <w:bookmarkEnd w:id="148"/>
    </w:p>
    <w:p w14:paraId="6CFFC73D">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编制《长江国家文化公园（鄂州区域）建设保护规划》。围绕</w:t>
      </w:r>
      <w:r>
        <w:rPr>
          <w:rFonts w:hint="eastAsia" w:ascii="仿宋_GB2312" w:hAnsi="仿宋_GB2312" w:eastAsia="仿宋_GB2312" w:cs="仿宋_GB2312"/>
          <w:color w:val="000000"/>
          <w:kern w:val="0"/>
          <w:sz w:val="32"/>
          <w:szCs w:val="32"/>
        </w:rPr>
        <w:t>“十四五”鄂州文化旅游功能布局，</w:t>
      </w:r>
      <w:r>
        <w:rPr>
          <w:rFonts w:hint="eastAsia" w:ascii="仿宋_GB2312" w:hAnsi="仿宋_GB2312" w:eastAsia="仿宋_GB2312" w:cs="仿宋_GB2312"/>
          <w:sz w:val="32"/>
          <w:szCs w:val="32"/>
        </w:rPr>
        <w:t>统筹推进长江国家文化公园鄂州区域建设。到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年，将长江国家文化公园鄂州区域建设成为鄂州历史文化保护利用传承的示范区、鄂州长江文化展示阐释的核心区、鄂州产业融合发展的先行区。</w:t>
      </w:r>
    </w:p>
    <w:p w14:paraId="58E223CA">
      <w:pPr>
        <w:pStyle w:val="6"/>
        <w:spacing w:before="0" w:after="0" w:line="560" w:lineRule="exact"/>
        <w:ind w:firstLine="627" w:firstLineChars="196"/>
        <w:rPr>
          <w:rFonts w:ascii="仿宋_GB2312" w:eastAsia="仿宋_GB2312"/>
          <w:b w:val="0"/>
          <w:color w:val="000000"/>
        </w:rPr>
      </w:pPr>
      <w:bookmarkStart w:id="149" w:name="_Toc118988224"/>
      <w:r>
        <w:rPr>
          <w:rFonts w:ascii="仿宋_GB2312" w:eastAsia="仿宋_GB2312"/>
          <w:b w:val="0"/>
          <w:color w:val="000000"/>
        </w:rPr>
        <w:t>4.</w:t>
      </w:r>
      <w:r>
        <w:rPr>
          <w:rFonts w:hint="eastAsia" w:ascii="仿宋_GB2312" w:eastAsia="仿宋_GB2312"/>
          <w:b w:val="0"/>
          <w:color w:val="000000"/>
        </w:rPr>
        <w:t>主要工作任务</w:t>
      </w:r>
      <w:bookmarkEnd w:id="149"/>
    </w:p>
    <w:p w14:paraId="644B3F5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长江国家文化公园（鄂州区域）建设保护重点推进六大工程。</w:t>
      </w:r>
    </w:p>
    <w:p w14:paraId="4BA63A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）推进文物保护传承活化利用工程。一是推进全国重点文保单位和重要省级文保单位保护活化利用项目。二是推进主城区历史文化街区改造项目。三是</w:t>
      </w:r>
      <w:r>
        <w:rPr>
          <w:rFonts w:hint="eastAsia" w:ascii="仿宋_GB2312" w:hAnsi="仿宋_GB2312" w:eastAsia="仿宋_GB2312" w:cs="仿宋_GB2312"/>
          <w:color w:val="000000"/>
          <w:kern w:val="0"/>
          <w:sz w:val="32"/>
          <w:szCs w:val="32"/>
        </w:rPr>
        <w:t>启动城市历史古迹修复项目。四是推动红色革命文化拓展提升项目。</w:t>
      </w:r>
    </w:p>
    <w:p w14:paraId="7D02E5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推进实施文旅融合工程。依托鄂州文化底蕴与旅游资源优势，通过水陆铁空联动、武鄂黄黄互动，助力打造江、山、林、湖、人、城融合共生的长江国际黄金旅游带。打造一批具有长江文化特点的文旅产业融合发展示范区、沿江夜间文旅集聚区及文化和旅游、体育消费试点城市，打造长江文化主题旅游精品线路。支持主办鄂州武昌鱼文化旅游节、鄂州国际马拉松赛事及鄂州文化旅游节庆赛事活动。支持文化文物单位文化创意产品开发和非物质文化产业发展，打造长江主题文化创意品牌。</w:t>
      </w:r>
    </w:p>
    <w:p w14:paraId="7F012A1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推进长江文化阐释展示工程。推进长江文化鄂州区域阐释展示工程主要规划和建设项目。规划建设鄂州市科技馆、鄂州市文化中心、鄂州市体育中心、鄂州市会展中心。提升和完善鄂州市博物馆、鄂州市城市展示馆、鄂州市临空经济区展示中心、</w:t>
      </w:r>
      <w:r>
        <w:rPr>
          <w:rFonts w:hint="eastAsia" w:ascii="仿宋_GB2312" w:hAnsi="仿宋_GB2312" w:eastAsia="仿宋_GB2312" w:cs="仿宋_GB2312"/>
          <w:color w:val="000000"/>
          <w:sz w:val="32"/>
          <w:szCs w:val="32"/>
        </w:rPr>
        <w:t>梁子湖水生态展示馆、</w:t>
      </w:r>
      <w:r>
        <w:rPr>
          <w:rFonts w:hint="eastAsia" w:ascii="仿宋_GB2312" w:hAnsi="仿宋_GB2312" w:eastAsia="仿宋_GB2312" w:cs="仿宋_GB2312"/>
          <w:sz w:val="32"/>
          <w:szCs w:val="32"/>
        </w:rPr>
        <w:t>鄂州市群众艺术馆、鄂州市美术馆，鄂州市非遗馆、鄂城区综合文化馆、华容区文化中心、梁子湖区综合文化馆、</w:t>
      </w:r>
      <w:r>
        <w:rPr>
          <w:rFonts w:hint="eastAsia" w:ascii="仿宋_GB2312" w:hAnsi="仿宋_GB2312" w:eastAsia="仿宋_GB2312" w:cs="仿宋_GB2312"/>
          <w:color w:val="000000"/>
          <w:kern w:val="0"/>
          <w:sz w:val="32"/>
          <w:szCs w:val="32"/>
        </w:rPr>
        <w:t>葛店文体公园</w:t>
      </w:r>
      <w:r>
        <w:rPr>
          <w:rFonts w:hint="eastAsia" w:ascii="仿宋_GB2312" w:hAnsi="仿宋_GB2312" w:eastAsia="仿宋_GB2312" w:cs="仿宋_GB2312"/>
          <w:sz w:val="32"/>
          <w:szCs w:val="32"/>
        </w:rPr>
        <w:t>，将上述部分场馆提档升级，完善设施设备，应用现代数字技术，增加更多的长江文化元素，推进上述展示馆数字化展示，阐释展示长江文化。</w:t>
      </w:r>
    </w:p>
    <w:p w14:paraId="415F7E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推进实施环境保护配套工程。大力弘扬生态优先、绿色低碳发展的新时代长江生态文化，加强长江流域生物多样性保护，对长江流域珍贵、濒危水生野生动植物实行重点保护，持续开展中华鲟、长江江豚等珍贵濒危物种拯救行动。加强生态修复，改善野生动植物生存环境。加快推进梁子湖、红莲湖、梧桐湖、三山湖、花马湖等湖泊湿地保护修复，攻坚提升行动，加强湿地水鸟和迁徙通道保护，实施低山丘陵湿地保护修复。构建以各类自然公园、城市公园、新田园综合体为主体的综合生态体系，打造一批长江生态文化鄂州地标。加快推进长江航道系统鄂州区域治理，构建综合交通运输体系。</w:t>
      </w:r>
    </w:p>
    <w:p w14:paraId="67A580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推进乡村振兴战略实施配套工程。加强传统村落、传统民居、特色民居、农业文化遗产、民俗风貌保护利用，塑造荆楚农房风貌特色。鼓励各地按照一定地域、文化、传统风格对老旧农房开展微改造，实施水系连通及水美乡村建设试点，打造一批历史底蕴深厚、自然条件优越、基础设施完善、公共服务设施齐全、景观环境优美的美丽乡村。</w:t>
      </w:r>
    </w:p>
    <w:p w14:paraId="42A94344">
      <w:pPr>
        <w:spacing w:line="560" w:lineRule="exact"/>
        <w:ind w:firstLine="640"/>
        <w:rPr>
          <w:rFonts w:ascii="微软雅黑" w:hAnsi="微软雅黑" w:eastAsia="微软雅黑" w:cs="微软雅黑"/>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）推进实施文化旅游数字再现工程。加强数字基础设施建设，推进智慧旅游、智慧博物馆等数字化建设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逐步实施主题展示区无线网络和第五代移动通信网络全覆盖。启动鄂州文物和历史文化资源数字化管理，推进文化数字展示。</w:t>
      </w:r>
      <w:r>
        <w:rPr>
          <w:rFonts w:hint="eastAsia" w:ascii="微软雅黑" w:hAnsi="微软雅黑" w:eastAsia="微软雅黑" w:cs="微软雅黑"/>
          <w:sz w:val="32"/>
          <w:szCs w:val="32"/>
        </w:rPr>
        <w:t>　　　　　</w:t>
      </w:r>
    </w:p>
    <w:p w14:paraId="2D080FBA">
      <w:pPr>
        <w:pStyle w:val="4"/>
        <w:spacing w:before="0" w:after="0" w:line="560" w:lineRule="exact"/>
        <w:ind w:firstLine="628" w:firstLineChars="196"/>
        <w:rPr>
          <w:rFonts w:ascii="微软雅黑" w:hAnsi="微软雅黑" w:eastAsia="微软雅黑" w:cs="微软雅黑"/>
          <w:bCs w:val="0"/>
          <w:color w:val="000000"/>
          <w:sz w:val="32"/>
          <w:szCs w:val="32"/>
        </w:rPr>
      </w:pPr>
      <w:bookmarkStart w:id="150" w:name="_Toc118988225"/>
      <w:bookmarkStart w:id="151" w:name="_Toc102401541"/>
      <w:bookmarkStart w:id="152" w:name="_Toc96722297"/>
      <w:r>
        <w:rPr>
          <w:rFonts w:hint="eastAsia" w:ascii="微软雅黑" w:hAnsi="微软雅黑" w:eastAsia="微软雅黑" w:cs="微软雅黑"/>
          <w:bCs w:val="0"/>
          <w:color w:val="000000"/>
          <w:sz w:val="32"/>
          <w:szCs w:val="32"/>
        </w:rPr>
        <w:t>四、实施路径</w:t>
      </w:r>
      <w:bookmarkEnd w:id="150"/>
      <w:bookmarkEnd w:id="151"/>
    </w:p>
    <w:p w14:paraId="4853254A">
      <w:pPr>
        <w:pStyle w:val="5"/>
        <w:spacing w:before="0" w:after="0" w:line="560" w:lineRule="exact"/>
        <w:ind w:firstLine="630" w:firstLineChars="196"/>
        <w:rPr>
          <w:rFonts w:ascii="宋体" w:hAnsi="宋体" w:eastAsia="宋体" w:cs="宋体"/>
          <w:bCs w:val="0"/>
          <w:color w:val="000000"/>
        </w:rPr>
      </w:pPr>
      <w:bookmarkStart w:id="153" w:name="_Toc102401542"/>
      <w:bookmarkStart w:id="154" w:name="_Toc118988226"/>
      <w:r>
        <w:rPr>
          <w:rFonts w:hint="eastAsia" w:ascii="宋体" w:hAnsi="宋体" w:eastAsia="宋体" w:cs="宋体"/>
          <w:bCs w:val="0"/>
          <w:color w:val="000000"/>
        </w:rPr>
        <w:t>（一）加强顶层设计，助推高质量发展</w:t>
      </w:r>
      <w:bookmarkEnd w:id="153"/>
      <w:bookmarkEnd w:id="154"/>
    </w:p>
    <w:p w14:paraId="2D695327">
      <w:pPr>
        <w:pStyle w:val="6"/>
        <w:spacing w:before="0" w:after="0" w:line="560" w:lineRule="exact"/>
        <w:ind w:firstLine="627" w:firstLineChars="196"/>
        <w:rPr>
          <w:rFonts w:ascii="仿宋_GB2312" w:eastAsia="仿宋_GB2312"/>
          <w:b w:val="0"/>
          <w:color w:val="000000"/>
        </w:rPr>
      </w:pPr>
      <w:bookmarkStart w:id="155" w:name="_Toc102401543"/>
      <w:bookmarkStart w:id="156" w:name="_Toc118988227"/>
      <w:bookmarkStart w:id="157" w:name="_Toc96722254"/>
      <w:r>
        <w:rPr>
          <w:rFonts w:ascii="仿宋_GB2312" w:eastAsia="仿宋_GB2312"/>
          <w:b w:val="0"/>
          <w:color w:val="000000"/>
        </w:rPr>
        <w:t>1.</w:t>
      </w:r>
      <w:r>
        <w:rPr>
          <w:rFonts w:hint="eastAsia" w:ascii="仿宋_GB2312" w:eastAsia="仿宋_GB2312"/>
          <w:b w:val="0"/>
          <w:color w:val="000000"/>
        </w:rPr>
        <w:t>加大政策及制度创新</w:t>
      </w:r>
      <w:bookmarkEnd w:id="155"/>
      <w:bookmarkEnd w:id="156"/>
      <w:bookmarkEnd w:id="157"/>
    </w:p>
    <w:p w14:paraId="1B42265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化制度创新，强化体制机制改革。继续推进文旅体广领域“放管服”改革，进一步精简行政审批事项。力争在文化文物、旅游、体育和广电领域，推出高质量、高水平的制度创新案例。继续做好文旅体广系列职称改革及评审工作，建立健全更为科学、合理、规范的职称评价激励体系。优化政府购买公共服务的政策机制，鼓励社会力量参与文旅体广公共服务建设。出台相关政策标准，助推文旅体广业发展。健全鄂州市文化、旅游、体育、广电产业统计体系和数据库，探索产业高质量发展指标体系。加快出台鄂州市体育赛事活动管理办法、鄂州市体育赛事活动资金管理办法、鄂州市美术馆展存收藏资金管理办法等相关政策、实施办法和行动计划。完善鄂州公共文化服务体系和评价体系建设，推进鄂州公共服务高质量发展。</w:t>
      </w:r>
    </w:p>
    <w:p w14:paraId="6258AD75">
      <w:pPr>
        <w:pStyle w:val="6"/>
        <w:spacing w:before="0" w:after="0" w:line="560" w:lineRule="exact"/>
        <w:ind w:firstLine="627" w:firstLineChars="196"/>
        <w:rPr>
          <w:rFonts w:ascii="仿宋_GB2312" w:eastAsia="仿宋_GB2312"/>
          <w:b w:val="0"/>
          <w:color w:val="000000"/>
        </w:rPr>
      </w:pPr>
      <w:bookmarkStart w:id="158" w:name="_Toc96722255"/>
      <w:bookmarkStart w:id="159" w:name="_Toc118988228"/>
      <w:bookmarkStart w:id="160" w:name="_Toc102401544"/>
      <w:r>
        <w:rPr>
          <w:rFonts w:ascii="仿宋_GB2312" w:eastAsia="仿宋_GB2312"/>
          <w:b w:val="0"/>
          <w:color w:val="000000"/>
        </w:rPr>
        <w:t>2.</w:t>
      </w:r>
      <w:r>
        <w:rPr>
          <w:rFonts w:hint="eastAsia" w:ascii="仿宋_GB2312" w:eastAsia="仿宋_GB2312"/>
          <w:b w:val="0"/>
          <w:color w:val="000000"/>
        </w:rPr>
        <w:t>强化高起点规划引领</w:t>
      </w:r>
      <w:bookmarkEnd w:id="158"/>
      <w:bookmarkEnd w:id="159"/>
      <w:bookmarkEnd w:id="160"/>
    </w:p>
    <w:p w14:paraId="7F6C8F4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编制市级旅游和文体专项研究与规划。适时启动和组织开展鄂州市旅游资源调查与评价、鄂州市十四五文旅体广发展规划环评、鄂州市乡村旅游发展规划、鄂州市十个特色村乡村旅游发展规划、</w:t>
      </w:r>
      <w:r>
        <w:rPr>
          <w:rFonts w:hint="eastAsia" w:ascii="仿宋_GB2312" w:hAnsi="仿宋_GB2312" w:eastAsia="仿宋_GB2312" w:cs="仿宋_GB2312"/>
          <w:sz w:val="32"/>
          <w:szCs w:val="32"/>
        </w:rPr>
        <w:t>编制《长江国家文化公园（鄂州区域）建设保护规划》。</w:t>
      </w:r>
      <w:r>
        <w:rPr>
          <w:rFonts w:hint="eastAsia" w:ascii="仿宋_GB2312" w:hAnsi="仿宋_GB2312" w:eastAsia="仿宋_GB2312" w:cs="仿宋_GB2312"/>
          <w:color w:val="000000"/>
          <w:kern w:val="0"/>
          <w:sz w:val="32"/>
          <w:szCs w:val="32"/>
        </w:rPr>
        <w:t>配合市委宣</w:t>
      </w:r>
      <w:r>
        <w:rPr>
          <w:rFonts w:hint="eastAsia" w:ascii="仿宋_GB2312" w:hAnsi="楷体_GB2312" w:eastAsia="仿宋_GB2312" w:cs="仿宋_GB2312"/>
          <w:color w:val="000000"/>
          <w:kern w:val="0"/>
          <w:sz w:val="32"/>
          <w:szCs w:val="32"/>
        </w:rPr>
        <w:t>传部编制鄂州文化产业发展规划。鼓励鄂城区、梁子湖区、华容区、葛店开发区、临空经济区编制区级旅游业发展规划，指导区级旅游和文化文物发展的专题研究和规划。鼓励指导旅游景区的规划编制工作。推动各区开展重点旅游景区、旅游度假区、特色文化街区、体育运动基地的规划创建工作，提升规划实施效能，明确各旅游景区、度假区及文化、体育基地的功能定位和发展方向，优化项目总体功能布局。强化规划衔接，提升规划实施效能。建立适应“两区一枢纽”建设需求的规划架构体系，促使旅游、文化、广电、体育等相关规划与鄂州市国土空间规划充分衔接，促进项目落地。落实规划实施责任，对规划实施进度开展年度监测、中期评估和总结评估。</w:t>
      </w:r>
    </w:p>
    <w:p w14:paraId="2F994361"/>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4C194D8F">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A9FE960">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4-1  </w:t>
            </w:r>
            <w:r>
              <w:rPr>
                <w:rFonts w:hint="eastAsia" w:ascii="仿宋_GB2312" w:hAnsi="楷体" w:eastAsia="仿宋_GB2312"/>
                <w:color w:val="000000"/>
                <w:sz w:val="24"/>
              </w:rPr>
              <w:t>重点规划编制</w:t>
            </w:r>
          </w:p>
        </w:tc>
      </w:tr>
      <w:tr w14:paraId="1544F67E">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9C8F8D5">
            <w:pPr>
              <w:pStyle w:val="13"/>
              <w:shd w:val="clear" w:color="auto" w:fill="FFFFFF"/>
              <w:spacing w:before="0" w:beforeAutospacing="0" w:after="0" w:afterAutospacing="0" w:line="400" w:lineRule="exact"/>
              <w:ind w:firstLine="482"/>
              <w:rPr>
                <w:rFonts w:ascii="仿宋_GB2312" w:hAnsi="仿宋_GB2312" w:eastAsia="仿宋_GB2312" w:cs="仿宋_GB2312"/>
                <w:color w:val="000000"/>
              </w:rPr>
            </w:pPr>
            <w:r>
              <w:rPr>
                <w:rFonts w:ascii="仿宋_GB2312" w:hAnsi="仿宋_GB2312" w:eastAsia="仿宋_GB2312" w:cs="仿宋_GB2312"/>
                <w:color w:val="000000"/>
              </w:rPr>
              <w:t>1.</w:t>
            </w:r>
            <w:r>
              <w:rPr>
                <w:rFonts w:hint="eastAsia" w:ascii="仿宋_GB2312" w:hAnsi="仿宋_GB2312" w:eastAsia="仿宋_GB2312" w:cs="仿宋_GB2312"/>
                <w:color w:val="000000"/>
              </w:rPr>
              <w:t>市级规划工程：鄂州市旅游资源调查与评价报告、鄂州市文化业产业发展规划、鄂州市文物保护利用规划、鄂州市乡村旅游规划（鄂州市</w:t>
            </w:r>
            <w:r>
              <w:rPr>
                <w:rFonts w:ascii="仿宋_GB2312" w:hAnsi="仿宋_GB2312" w:eastAsia="仿宋_GB2312" w:cs="仿宋_GB2312"/>
                <w:color w:val="000000"/>
              </w:rPr>
              <w:t>10</w:t>
            </w:r>
            <w:r>
              <w:rPr>
                <w:rFonts w:hint="eastAsia" w:ascii="仿宋_GB2312" w:hAnsi="仿宋_GB2312" w:eastAsia="仿宋_GB2312" w:cs="仿宋_GB2312"/>
                <w:color w:val="000000"/>
              </w:rPr>
              <w:t>个特色旅游村发展规划）、</w:t>
            </w:r>
            <w:r>
              <w:rPr>
                <w:rFonts w:hint="eastAsia" w:ascii="仿宋_GB2312" w:hAnsi="仿宋_GB2312" w:eastAsia="仿宋_GB2312" w:cs="仿宋_GB2312"/>
              </w:rPr>
              <w:t>《长江国家文化公园（鄂州区域）建设保护规划》。</w:t>
            </w:r>
          </w:p>
          <w:p w14:paraId="1D3BCA74">
            <w:pPr>
              <w:pStyle w:val="13"/>
              <w:shd w:val="clear" w:color="auto" w:fill="FFFFFF"/>
              <w:spacing w:before="0" w:beforeAutospacing="0" w:after="0" w:afterAutospacing="0" w:line="400" w:lineRule="exact"/>
              <w:ind w:firstLine="482"/>
              <w:rPr>
                <w:rFonts w:ascii="微软雅黑" w:hAnsi="微软雅黑" w:eastAsia="微软雅黑" w:cs="微软雅黑"/>
                <w:color w:val="000000"/>
              </w:rPr>
            </w:pPr>
            <w:r>
              <w:rPr>
                <w:rFonts w:ascii="仿宋_GB2312" w:hAnsi="仿宋_GB2312" w:eastAsia="仿宋_GB2312" w:cs="仿宋_GB2312"/>
                <w:color w:val="000000"/>
              </w:rPr>
              <w:t>2.</w:t>
            </w:r>
            <w:r>
              <w:rPr>
                <w:rFonts w:hint="eastAsia" w:ascii="仿宋_GB2312" w:hAnsi="仿宋_GB2312" w:eastAsia="仿宋_GB2312" w:cs="仿宋_GB2312"/>
                <w:color w:val="000000"/>
              </w:rPr>
              <w:t>区级规划工程：梁子湖区</w:t>
            </w:r>
            <w:r>
              <w:rPr>
                <w:rFonts w:hint="eastAsia" w:ascii="仿宋_GB2312" w:hAnsi="仿宋_GB2312" w:eastAsia="仿宋_GB2312" w:cs="仿宋_GB2312"/>
              </w:rPr>
              <w:t>十四五</w:t>
            </w:r>
            <w:r>
              <w:rPr>
                <w:rFonts w:hint="eastAsia" w:ascii="仿宋_GB2312" w:hAnsi="仿宋_GB2312" w:eastAsia="仿宋_GB2312" w:cs="仿宋_GB2312"/>
                <w:color w:val="000000"/>
              </w:rPr>
              <w:t>全域旅游发展规划</w:t>
            </w:r>
            <w:r>
              <w:rPr>
                <w:rFonts w:hint="eastAsia" w:ascii="仿宋_GB2312" w:hAnsi="仿宋_GB2312" w:eastAsia="仿宋_GB2312" w:cs="仿宋_GB2312"/>
              </w:rPr>
              <w:t>、鄂城区十四五文化旅游发展规划、华容区十四五文化旅游发展规划。</w:t>
            </w:r>
          </w:p>
        </w:tc>
      </w:tr>
    </w:tbl>
    <w:p w14:paraId="573D8BCA">
      <w:bookmarkStart w:id="161" w:name="_Toc96722256"/>
      <w:bookmarkStart w:id="162" w:name="_Toc102401545"/>
    </w:p>
    <w:p w14:paraId="2EA5DE3E">
      <w:pPr>
        <w:pStyle w:val="6"/>
        <w:spacing w:before="0" w:after="0" w:line="560" w:lineRule="exact"/>
        <w:ind w:firstLine="640" w:firstLineChars="200"/>
        <w:rPr>
          <w:rFonts w:ascii="仿宋_GB2312" w:eastAsia="仿宋_GB2312"/>
          <w:b w:val="0"/>
          <w:color w:val="000000"/>
        </w:rPr>
      </w:pPr>
      <w:bookmarkStart w:id="163" w:name="_Toc118988229"/>
      <w:r>
        <w:rPr>
          <w:rFonts w:ascii="仿宋_GB2312" w:eastAsia="仿宋_GB2312"/>
          <w:b w:val="0"/>
          <w:color w:val="000000"/>
        </w:rPr>
        <w:t>3.</w:t>
      </w:r>
      <w:r>
        <w:rPr>
          <w:rFonts w:hint="eastAsia" w:ascii="仿宋_GB2312" w:eastAsia="仿宋_GB2312"/>
          <w:b w:val="0"/>
          <w:color w:val="000000"/>
        </w:rPr>
        <w:t>聚焦项目招商与市场主体</w:t>
      </w:r>
      <w:bookmarkEnd w:id="161"/>
      <w:bookmarkEnd w:id="162"/>
      <w:r>
        <w:rPr>
          <w:rFonts w:hint="eastAsia" w:ascii="仿宋_GB2312" w:eastAsia="仿宋_GB2312"/>
          <w:b w:val="0"/>
          <w:color w:val="000000"/>
        </w:rPr>
        <w:t>培育</w:t>
      </w:r>
      <w:bookmarkEnd w:id="163"/>
    </w:p>
    <w:p w14:paraId="4038107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市委市政府决策部署，围绕“喜迎二十大，擦亮吴都文化新名片”主题，大力实施文旅行业重振行动，加快文旅产业创新转型和安全韧性发展，构建平战结合、以快制快、高效协同的文旅防疫安全应急体系，大力推动高品质消费供给、高能级产业引进和高水平数字转型，积极抢抓“元宇宙”新赛道，努力以自身工作举措的确定性来有效应对外部环境的不确定性，打好新时代文旅融合发展“组合拳”，让文化“活”起来，旅游“火”起来。加大招商引资力度，鼓励和引导各类社会资本参与文化旅游资源开发。组织项目实施单位与金融机构对接，鼓励金融机构创新文化旅游金融产品和服务。改善市场投融资环境，鼓励金融机构针对产业特点创新开发文旅体广金融产品和消费金融服务模式。</w:t>
      </w:r>
    </w:p>
    <w:p w14:paraId="0ACC0CC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）在加速存量变革中优化存量资源。一是聚焦重点企业。加大招商优惠政策扶持，围绕</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度假区、民宿、体育教育培训基地、文化产业基地等领域创建，给予招商引资优惠政策和奖励。关注行业领军企业晨光实业、湖北顺合、小明太极等企业经营情况，动态跟进，“秘书式”精准服务。二是聚焦重点区域。充分利用武鄂黄黄都市圈发展战略和建设“武汉城市圈同城化核心区”及花湖机场建成通航的契机，激活鄂州市场活力。在梁子湖、梧桐湖、葛店、临空经济区等地引入知名、时尚、高端消费商品品牌，集聚品牌时尚媒体、媒介资源。培育本地机构、专业组织、本土企业，适时搭建旅游研发中心，适时开展旅游票务、大数据、文创等热门旅游专题的研发。重点关注鄂城、华容、葛店的文化产业发展情况，补短板强弱项，稳固发展基础，助推梁子湖区和临空经济区加快文化娱乐休闲、广播影视、文化生产制造等产业发展，提升产业经济总量。三是聚焦重点项目。加快引进市场主体，对准旅游行业领军企业、知名文旅品牌企业、文化批发和零售企业、文化节庆会展企业、文化创意和数字文化企业、体育俱乐部、体育教育企业、体育装备制造企业等专业化领军企业进行靶向招商，到“十四五”期末，力争实现一批有实力的旅游、文化、广电、体育头部企业入驻鄂州。重点推进吴都·乔街等签约项目。做实旅游配套开发，打造一批集生产、旅游、研学、特色文创为一体的高质量文旅产品。</w:t>
      </w:r>
    </w:p>
    <w:p w14:paraId="72EE08D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）在加速变量突破中培植变量资源。一是做深项目谋划。紧盯</w:t>
      </w:r>
      <w:r>
        <w:rPr>
          <w:rFonts w:ascii="仿宋_GB2312" w:hAnsi="楷体_GB2312" w:eastAsia="仿宋_GB2312" w:cs="仿宋_GB2312"/>
          <w:color w:val="000000"/>
          <w:kern w:val="0"/>
          <w:sz w:val="32"/>
          <w:szCs w:val="32"/>
        </w:rPr>
        <w:t>157</w:t>
      </w:r>
      <w:r>
        <w:rPr>
          <w:rFonts w:hint="eastAsia" w:ascii="仿宋_GB2312" w:hAnsi="楷体_GB2312" w:eastAsia="仿宋_GB2312" w:cs="仿宋_GB2312"/>
          <w:color w:val="000000"/>
          <w:kern w:val="0"/>
          <w:sz w:val="32"/>
          <w:szCs w:val="32"/>
        </w:rPr>
        <w:t>产业发展要求，按照政策投向、补短板强链条等思路，精准策划，着力跟进浙江顶度文旅、北京保利文化、广州岭南文旅、北京华谊影业、上海龙之梦、浙江中寅文旅等意向性招商项目尽快签约落地。二是优化城市文化空间布局。以加快推进城市更新行动为契机，依托宝武鄂钢工业文旅小镇等项目打造文化创意街区、城市文化公园、文化旅游长廊、特色文创小镇等文化功能区块，提升城市整体文化氛围，形成有品质、有影响的文化地标和产业集聚区，打造更多网红打卡地。</w:t>
      </w:r>
    </w:p>
    <w:p w14:paraId="42A98A7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在加速增量崛起中引进增量资源。随着花湖机场正式开航，更多文旅企业看好鄂州，投资鄂州，深耕鄂州。主动协调武汉黄冈黄石文旅局，积极对接全国旅游协会、楚商联合会、机场公司和骨干航司、旅行社、星级酒店，策划组建航空文旅联盟，构建花湖机场“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创新旅游消费新业态，着力将该功能区打造成为国际空港旅游新名片。以国家长江文化公园建设为契机，主动接受国家文化发展研究院辐射，在历史文化遗产的保护传承和活化利用、长江国家文化公园鄂州区域文化统筹发展研究和学术交流等项目上开展合作。创新采用</w:t>
      </w:r>
      <w:r>
        <w:rPr>
          <w:rFonts w:ascii="仿宋_GB2312" w:hAnsi="楷体_GB2312" w:eastAsia="仿宋_GB2312" w:cs="仿宋_GB2312"/>
          <w:color w:val="000000"/>
          <w:kern w:val="0"/>
          <w:sz w:val="32"/>
          <w:szCs w:val="32"/>
        </w:rPr>
        <w:t>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VR</w:t>
      </w:r>
      <w:r>
        <w:rPr>
          <w:rFonts w:hint="eastAsia" w:ascii="仿宋_GB2312" w:hAnsi="楷体_GB2312" w:eastAsia="仿宋_GB2312" w:cs="仿宋_GB2312"/>
          <w:color w:val="000000"/>
          <w:kern w:val="0"/>
          <w:sz w:val="32"/>
          <w:szCs w:val="32"/>
        </w:rPr>
        <w:t>技术，推进吴王城遗址、观音阁、怡亭铭国家级文保单位保护和活化利用。统筹推进鄂州特色街区打造，通过景观再造的形式重现“古武昌八景”，唤起城市回忆，传承历史文脉，进一步促进商业中心及街区、旅游公共服务设施等配套建设，提高城区综合服务能力，着力打造沿江城市公园和景观带。</w:t>
      </w:r>
    </w:p>
    <w:p w14:paraId="4EBE4BB2">
      <w:pPr>
        <w:pStyle w:val="6"/>
        <w:spacing w:before="0" w:after="0" w:line="560" w:lineRule="exact"/>
        <w:ind w:firstLine="627" w:firstLineChars="196"/>
        <w:rPr>
          <w:rFonts w:ascii="仿宋_GB2312" w:eastAsia="仿宋_GB2312"/>
          <w:b w:val="0"/>
          <w:color w:val="000000"/>
        </w:rPr>
      </w:pPr>
      <w:bookmarkStart w:id="164" w:name="_Toc96722257"/>
      <w:bookmarkStart w:id="165" w:name="_Toc102401546"/>
      <w:bookmarkStart w:id="166" w:name="_Toc118988230"/>
      <w:r>
        <w:rPr>
          <w:rFonts w:ascii="仿宋_GB2312" w:eastAsia="仿宋_GB2312"/>
          <w:b w:val="0"/>
          <w:color w:val="000000"/>
        </w:rPr>
        <w:t>4.</w:t>
      </w:r>
      <w:r>
        <w:rPr>
          <w:rFonts w:hint="eastAsia" w:ascii="仿宋_GB2312" w:eastAsia="仿宋_GB2312"/>
          <w:b w:val="0"/>
          <w:color w:val="000000"/>
        </w:rPr>
        <w:t>加快高水平对外开放</w:t>
      </w:r>
      <w:bookmarkEnd w:id="164"/>
      <w:bookmarkEnd w:id="165"/>
      <w:bookmarkEnd w:id="166"/>
    </w:p>
    <w:p w14:paraId="159638C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旅市场宣传推介。根据鄂州花湖机场航班特点，适时针对境内外重点货源及客源地开展线上线下宣传推广活动。谋划组织市外文化旅游宣传推介活动。围绕规划、投资、培训、质量标准认证，与国内知名旅游组织、旅游旅行协会、传媒公司集团、大型演艺机构、体育俱乐部、体育运营机构等开展合作交流。拓宽对外交流途径。发挥鄂州融媒体中心的平台作用，推行融合传播外宣新产品，与其他城市的媒体机构合作，拓宽对外传播新途径。积极举办对外交流活动，鼓励并支持长江经济带沿线城市与鄂州之间相互选派高水平文化团（组）和艺术家参加各自举办的文旅节事、体育赛事等活动。</w:t>
      </w:r>
    </w:p>
    <w:p w14:paraId="19D9364A">
      <w:pPr>
        <w:pStyle w:val="5"/>
        <w:spacing w:before="0" w:after="0" w:line="560" w:lineRule="exact"/>
        <w:ind w:firstLine="630" w:firstLineChars="196"/>
        <w:rPr>
          <w:rFonts w:ascii="宋体" w:hAnsi="宋体" w:eastAsia="宋体" w:cs="宋体"/>
          <w:bCs w:val="0"/>
          <w:color w:val="000000"/>
        </w:rPr>
      </w:pPr>
      <w:bookmarkStart w:id="167" w:name="_Toc102401547"/>
      <w:bookmarkStart w:id="168" w:name="_Toc118988231"/>
      <w:bookmarkStart w:id="169" w:name="_Toc96722281"/>
      <w:r>
        <w:rPr>
          <w:rFonts w:hint="eastAsia" w:ascii="宋体" w:hAnsi="宋体" w:eastAsia="宋体" w:cs="宋体"/>
          <w:bCs w:val="0"/>
          <w:color w:val="000000"/>
        </w:rPr>
        <w:t>（二）完善基础建设，补齐公共服务短板</w:t>
      </w:r>
      <w:bookmarkEnd w:id="167"/>
      <w:bookmarkEnd w:id="168"/>
      <w:bookmarkEnd w:id="169"/>
    </w:p>
    <w:p w14:paraId="066B0417">
      <w:pPr>
        <w:pStyle w:val="6"/>
        <w:spacing w:before="0" w:after="0" w:line="560" w:lineRule="exact"/>
        <w:ind w:firstLine="627" w:firstLineChars="196"/>
        <w:rPr>
          <w:rFonts w:ascii="仿宋_GB2312" w:eastAsia="仿宋_GB2312"/>
          <w:b w:val="0"/>
          <w:color w:val="000000"/>
        </w:rPr>
      </w:pPr>
      <w:bookmarkStart w:id="170" w:name="_Toc102401549"/>
      <w:bookmarkStart w:id="171" w:name="_Toc96722283"/>
      <w:bookmarkStart w:id="172" w:name="_Toc118988232"/>
      <w:bookmarkStart w:id="173" w:name="_Toc102401548"/>
      <w:bookmarkStart w:id="174" w:name="_Toc96722282"/>
      <w:r>
        <w:rPr>
          <w:rFonts w:ascii="仿宋_GB2312" w:eastAsia="仿宋_GB2312"/>
          <w:b w:val="0"/>
          <w:color w:val="000000"/>
        </w:rPr>
        <w:t>1.</w:t>
      </w:r>
      <w:r>
        <w:rPr>
          <w:rFonts w:hint="eastAsia" w:ascii="仿宋_GB2312" w:eastAsia="仿宋_GB2312"/>
          <w:b w:val="0"/>
          <w:color w:val="000000"/>
        </w:rPr>
        <w:t>完善公共文化服务体系建设</w:t>
      </w:r>
      <w:bookmarkEnd w:id="170"/>
      <w:bookmarkEnd w:id="171"/>
      <w:bookmarkEnd w:id="172"/>
    </w:p>
    <w:bookmarkEnd w:id="173"/>
    <w:bookmarkEnd w:id="174"/>
    <w:p w14:paraId="3C6B27B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）深入推进公共文化服务标准化建设</w:t>
      </w:r>
    </w:p>
    <w:p w14:paraId="25BB6080">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全面落实《湖北省基本公共服务标准（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年版）》和《湖北省基本公共文化服务实施标准（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一是完善基本公共文化服务目录。按照国家、省关于建立健全基本公共服务标准相关要求，修订我市基本公共文化服务实施标准，确定基本服务项目、设施设备、人员配备等指标，按照基础性、普惠性、便利性原则，持续加强设施建设。在“十四五”期间创建省级现代公共文化服务体系示范区。二是开展鄂州公共数字文化标准化建设工作。对接全国文化信息资源共享工程、数字图书馆推广工程，依托智慧图书馆体系建设、湖北公共文化云建设工作，重点解决信息融合、资源建设、服务反馈等领域的规范性问题，提升数字服务能力。</w:t>
      </w:r>
    </w:p>
    <w:p w14:paraId="7706FA7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）加快重大公共文化设施建设</w:t>
      </w:r>
    </w:p>
    <w:p w14:paraId="4305AB4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标准推进市级公共文化设施建设。建设硬件设施先进、鄂州特色突出、居民游客共享的市级重点文化设施。继续大力推进市会展中心、市文化中心的建设工作。加快完善区级公共文化设施建设。各区积极推进公共图书馆、文化馆及非遗馆建设，各区可根据实际情况建设集公共图书馆、文化馆、博物馆等于一体的综合文化馆。鼓励全市有条件的行政村（社区）建设相对集中独立的基层综合性文化服务中心并配套文体活动小广场。</w:t>
      </w:r>
    </w:p>
    <w:p w14:paraId="66DBBE92">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176E4982">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3DCCD857">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4-2  </w:t>
            </w:r>
            <w:r>
              <w:rPr>
                <w:rFonts w:hint="eastAsia" w:ascii="仿宋_GB2312" w:hAnsi="楷体" w:eastAsia="仿宋_GB2312"/>
                <w:sz w:val="24"/>
              </w:rPr>
              <w:t>重大公共文化基础设施建设提升工程</w:t>
            </w:r>
          </w:p>
        </w:tc>
      </w:tr>
      <w:tr w14:paraId="4A92F250">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AF6CC8E">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、市级重大公共文化基础设施</w:t>
            </w:r>
          </w:p>
          <w:p w14:paraId="46A20286">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）市会展中心。项目选址于鄂州市吴楚大道以北，规划二十三号路东侧。项目总建筑面积</w:t>
            </w:r>
            <w:r>
              <w:rPr>
                <w:rFonts w:ascii="仿宋_GB2312" w:eastAsia="仿宋_GB2312" w:cs="仿宋_GB2312"/>
                <w:kern w:val="0"/>
                <w:sz w:val="24"/>
              </w:rPr>
              <w:t>118157.70</w:t>
            </w:r>
            <w:r>
              <w:rPr>
                <w:rFonts w:hint="eastAsia" w:ascii="仿宋_GB2312" w:eastAsia="仿宋_GB2312" w:cs="仿宋_GB2312"/>
                <w:kern w:val="0"/>
                <w:sz w:val="24"/>
              </w:rPr>
              <w:t>平方米。主要建设展示中心、会议中心、科技馆及其他配套设施。</w:t>
            </w:r>
          </w:p>
          <w:p w14:paraId="26FE9783">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）市文化中心。项目选址于鄂州市吴楚大道以北，广场路以东，规划十一号路以南。项目总建筑面积约</w:t>
            </w:r>
            <w:r>
              <w:rPr>
                <w:rFonts w:ascii="仿宋_GB2312" w:eastAsia="仿宋_GB2312" w:cs="仿宋_GB2312"/>
                <w:kern w:val="0"/>
                <w:sz w:val="24"/>
              </w:rPr>
              <w:t>50700</w:t>
            </w:r>
            <w:r>
              <w:rPr>
                <w:rFonts w:hint="eastAsia" w:ascii="仿宋_GB2312" w:eastAsia="仿宋_GB2312" w:cs="仿宋_GB2312"/>
                <w:kern w:val="0"/>
                <w:sz w:val="24"/>
              </w:rPr>
              <w:t>平方米。包括大剧院、多功能小剧场（黑匣子）、剧院配套设施、多功能厅、美术馆、大屋盖投影等。</w:t>
            </w:r>
          </w:p>
          <w:p w14:paraId="017B513E">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、区级重大公共文化基础设施</w:t>
            </w:r>
          </w:p>
          <w:p w14:paraId="151DF940">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）华容区市民文化中心。续建项目。总建筑面积为</w:t>
            </w:r>
            <w:r>
              <w:rPr>
                <w:rFonts w:ascii="仿宋_GB2312" w:eastAsia="仿宋_GB2312" w:cs="仿宋_GB2312"/>
                <w:kern w:val="0"/>
                <w:sz w:val="24"/>
              </w:rPr>
              <w:t>8000</w:t>
            </w:r>
            <w:r>
              <w:rPr>
                <w:rFonts w:hint="eastAsia" w:ascii="仿宋_GB2312" w:eastAsia="仿宋_GB2312" w:cs="仿宋_GB2312"/>
                <w:kern w:val="0"/>
                <w:sz w:val="24"/>
              </w:rPr>
              <w:t>平方米，包括博物馆、文化馆及影城。</w:t>
            </w:r>
          </w:p>
          <w:p w14:paraId="087C07D7">
            <w:pPr>
              <w:spacing w:line="400" w:lineRule="exact"/>
              <w:ind w:firstLine="480" w:firstLineChars="200"/>
              <w:rPr>
                <w:rFonts w:ascii="仿宋_GB2312" w:eastAsia="仿宋_GB2312" w:cs="仿宋_GB2312"/>
                <w:kern w:val="0"/>
                <w:sz w:val="28"/>
                <w:szCs w:val="28"/>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）梁子湖区市民之家（区图书馆、文化馆、非遗展示馆及政务服务中心）。总建筑面积</w:t>
            </w:r>
            <w:r>
              <w:rPr>
                <w:rFonts w:ascii="仿宋_GB2312" w:eastAsia="仿宋_GB2312" w:cs="仿宋_GB2312"/>
                <w:kern w:val="0"/>
                <w:sz w:val="24"/>
              </w:rPr>
              <w:t>12757.00</w:t>
            </w:r>
            <w:r>
              <w:rPr>
                <w:rFonts w:hint="eastAsia" w:ascii="仿宋_GB2312" w:eastAsia="仿宋_GB2312" w:cs="仿宋_GB2312"/>
                <w:kern w:val="0"/>
                <w:sz w:val="24"/>
              </w:rPr>
              <w:t>平方米，包括市民之家、政务服务中心、文化馆、图书馆、非遗展示馆、公共资源交易中心等。</w:t>
            </w:r>
          </w:p>
        </w:tc>
      </w:tr>
    </w:tbl>
    <w:p w14:paraId="4A87D672">
      <w:pPr>
        <w:spacing w:line="560" w:lineRule="exact"/>
        <w:ind w:firstLine="640" w:firstLineChars="200"/>
        <w:rPr>
          <w:rFonts w:ascii="仿宋_GB2312" w:hAnsi="楷体_GB2312" w:eastAsia="仿宋_GB2312" w:cs="仿宋_GB2312"/>
          <w:color w:val="000000"/>
          <w:kern w:val="0"/>
          <w:sz w:val="32"/>
          <w:szCs w:val="32"/>
        </w:rPr>
      </w:pPr>
    </w:p>
    <w:p w14:paraId="25CAC4E4">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）完善基层公共文化服务网络。</w:t>
      </w:r>
    </w:p>
    <w:p w14:paraId="4B90039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优化基层公共文化设施。推进基层公共文化服务设施提档升级，对设施陈旧等不能满足群众需求的公共图书馆、文化站、文化广场、百姓舞台等公共文化设施进行改造升级。优化基层公共文化服务设施布局，推动将公共文化设施建设纳入新型城镇化工作补短板强弱项项目。二是完善区级图书馆文化馆总分馆体系。以图书馆、文化馆总分馆制为抓手，提升基层服务设施效能，逐步实现总分馆图书资源的通借通还、数字服务的共建共享、文化活动的协调联动和人员培训的统筹兼顾。鼓励将若干人口集中、工作基础好的乡镇（街道）综合文化服务中心建设为覆盖周边乡镇（街道）的区域服务分中心。具备条件的可在人口聚居的村（社区）综合文化服务中心建设基层服务点。三是持续组织开展好“红色文艺轻骑兵”“戏曲进乡村”“送戏下乡”等面向基层的流动文化服务。四是以公共文化云建设和全民艺术普及、全民阅读为重要抓手，建立公共图书馆、文化馆、博物馆、美术馆、非遗馆等线上线下联动机制。</w:t>
      </w:r>
    </w:p>
    <w:p w14:paraId="386BD9C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）创新拓展城乡公共文化空间。</w:t>
      </w:r>
    </w:p>
    <w:p w14:paraId="2AB8B21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一是扮靓城市文化空间。按照规模适当、布局科学、业态多元、特色鲜明的要求，着力打造“</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分钟文化圈”，在都市商圈、产业园区、城市社区、大学校园等区域打造一批融合图书阅读、艺术展览、文化沙龙、轻食餐饮等多业态于一体的“城市书房”、“文化驿站”、校园书店等新型文化空间形态</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培育特色“城市书房”品牌。二是构筑乡村文化空间。着眼于乡村优秀传统文化的活化利用和创新发展，因地制宜建设文化礼堂、乡村戏台、博物馆、村史馆、非遗传习场所等主题功能空间。适应农村群众对高品质文化生活的期待。</w:t>
      </w:r>
    </w:p>
    <w:p w14:paraId="4F733EA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）促进公共文化服务提质增效</w:t>
      </w:r>
    </w:p>
    <w:p w14:paraId="50D5F72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广泛开展全民阅读活动。依托“书香荆楚·文化湖北”建设。推动公共图书馆向“以人为中心”转型，建设开放、智慧、包容、共享的现代图书馆；建设读者用户中心，推广信用借阅、电子读者证和“楚天云递”网借服务。培育一批具有时代感的城乡阅读品牌，扩大长江读书节、鄂州讲坛、“书香农户·耕读人家”农民读书用书赶集活动品牌影响力。二是丰富公共文化服务产品供给。优化覆盖市区乡村四级的产品供给网络和服务渠道，推进区域资源共建共享。持续打造荆楚“红色文艺轻骑兵”“文化进万家”“戏曲进乡村”“天天学”“周周乐”“月月讲”等文化品牌活动，推动优秀文化遗产、高雅艺术进校园、进企业、进社区、进景区、进乡村，进一步将资源和服务下沉，提高公共文化惠民普及率。三是活跃群众文化生活。积极开展全民艺术普及、全民健身、全民科普和群众性法治文化活动。办好“文化力量·民间精彩”广场舞展演、民俗展演展示、“灵秀湖北·四季村晚”等接地气、正能量的群众文化活动，深化“一区一品”群众文化活动品牌创建，推进民间文化艺术之乡创建。积极参与“楚天群星奖”、社会文艺团队展演、广场舞展演三大赛事精品项目创作。推动社会文艺团队体系化建设，培育文化中心户，引导草根文化健康发展。四是提升公共文化服务关爱温度。按照国家有关标准和特殊群体需求，完善我市公共文化场馆无障碍设施。鼓励面向务工人员、残障人士、未成年人、老年人等群体开展文化服务活动。将农民工、园区工人文化建设纳入常住地公共文化服务体系，以公共文化机构、社区和用工企业为实施主体，满足农民工的基本精神文化需求。组织乡村文艺团体开展广场文化活动，丰富农村留守人群、生活困难群众的文化生活。</w:t>
      </w:r>
    </w:p>
    <w:p w14:paraId="10CDEC6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）统筹推进公共数字文化建设</w:t>
      </w:r>
    </w:p>
    <w:p w14:paraId="7FC443F3">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提高公共文化设施数字化建设水平。推进智慧图书馆体系建设和公共文化云建设，构建标准统一、互联互通的数字化服务网络，实现服务的智能匹配和精准推送。重点建设全民阅读数字资源和全民艺术普及地方特色资源。创新数字图书馆、移动图书馆、微信图书馆服务模式，为市民提供移动数字服务、数字体验服务和微服务等多层次多途径的服务，推进数字农家书屋建设，推广文化活动网络直播。鼓励与企业合作，探索有声图书馆、文化馆互动体验等新型文化服务方式。二是提升公共文化服务现代传播能力。运用数字技术升级公共文化服务产品，推进传统文化的数字化保存和传播。有效应用云计算、物联网、大数据、空间地理信息集成等新一代信息技术，拓宽公共文化资源传输渠道，推动基于智能移动终端软件、新媒体的公共文化服务，形成全媒体传播网络。构建主流媒体、文化类单位、社会公众广泛参与的多元传播主体格局。三是提升公共数字文化服务实效性。大力推进“三网融合”，推进数字出版，推广数字智能终端、移动终端等新型服务载体。加强广播电视基础设施建设，推进有线电视网络建设和数字化双向化改造，推进直播卫星和地面数字电视覆盖建设，实现广播电视户户通。推动“村村响”系统升级改造工程，提升应急信息发布、服务基层治理、对农宣传能力。加强广播、电视、主流报纸和各级政府网站公共文化频道、专栏建设。在户外公益广告宣传中融合公共文化服务内容。</w:t>
      </w:r>
    </w:p>
    <w:p w14:paraId="7213A14A">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6FFF13E5">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EA0C4B8">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4-3  </w:t>
            </w:r>
            <w:r>
              <w:rPr>
                <w:rFonts w:hint="eastAsia" w:ascii="仿宋_GB2312" w:hAnsi="楷体" w:eastAsia="仿宋_GB2312"/>
                <w:sz w:val="24"/>
              </w:rPr>
              <w:t>公共文化数字化服务工程</w:t>
            </w:r>
          </w:p>
        </w:tc>
      </w:tr>
      <w:tr w14:paraId="13797026">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F487F6B">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数字图书馆推广工程。（</w:t>
            </w:r>
            <w:r>
              <w:rPr>
                <w:rFonts w:ascii="仿宋_GB2312" w:eastAsia="仿宋_GB2312" w:cs="仿宋_GB2312"/>
                <w:kern w:val="0"/>
                <w:sz w:val="24"/>
              </w:rPr>
              <w:t>1</w:t>
            </w:r>
            <w:r>
              <w:rPr>
                <w:rFonts w:hint="eastAsia" w:ascii="仿宋_GB2312" w:eastAsia="仿宋_GB2312" w:cs="仿宋_GB2312"/>
                <w:kern w:val="0"/>
                <w:sz w:val="24"/>
              </w:rPr>
              <w:t>）建设覆盖全市的数字图书馆虚拟网络、互联互通的数字图书馆系统平台和海量分布式数字资源库群，形成完整的数字图书馆标准规范体系，借助全媒体提供数字文化服务。形成覆盖全市的数字图书馆服务网，为广大群众提供多层次、多样化、专业化、个性化的数字图书馆服务，打造基于新媒体的图书馆服务新业态。（</w:t>
            </w:r>
            <w:r>
              <w:rPr>
                <w:rFonts w:ascii="仿宋_GB2312" w:eastAsia="仿宋_GB2312" w:cs="仿宋_GB2312"/>
                <w:kern w:val="0"/>
                <w:sz w:val="24"/>
              </w:rPr>
              <w:t>2</w:t>
            </w:r>
            <w:r>
              <w:rPr>
                <w:rFonts w:hint="eastAsia" w:ascii="仿宋_GB2312" w:eastAsia="仿宋_GB2312" w:cs="仿宋_GB2312"/>
                <w:kern w:val="0"/>
                <w:sz w:val="24"/>
              </w:rPr>
              <w:t>）推行手机图书馆。以互联网、移动通信网、广电网为通道，通过免费或有偿下载，使市民可借助手机、数字电视、移动电视等新兴媒体，方便地享受多层次、多样化、专业化的免费数字化可随身移动的图书馆服务。</w:t>
            </w:r>
          </w:p>
          <w:p w14:paraId="069E3015">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全市公共图书馆通借通还完善工程。整合市县（区）两级图书馆的各类资源，投入项目建设资金，全面实现全市公共图书馆借阅证“一卡通”“馆际通借通还”“人性化的</w:t>
            </w:r>
            <w:r>
              <w:rPr>
                <w:rFonts w:ascii="仿宋_GB2312" w:eastAsia="仿宋_GB2312" w:cs="仿宋_GB2312"/>
                <w:kern w:val="0"/>
                <w:sz w:val="24"/>
              </w:rPr>
              <w:t>24</w:t>
            </w:r>
            <w:r>
              <w:rPr>
                <w:rFonts w:hint="eastAsia" w:ascii="仿宋_GB2312" w:eastAsia="仿宋_GB2312" w:cs="仿宋_GB2312"/>
                <w:kern w:val="0"/>
                <w:sz w:val="24"/>
              </w:rPr>
              <w:t>小时自助图书馆”“城市街区</w:t>
            </w:r>
            <w:r>
              <w:rPr>
                <w:rFonts w:ascii="仿宋_GB2312" w:eastAsia="仿宋_GB2312" w:cs="仿宋_GB2312"/>
                <w:kern w:val="0"/>
                <w:sz w:val="24"/>
              </w:rPr>
              <w:t>24</w:t>
            </w:r>
            <w:r>
              <w:rPr>
                <w:rFonts w:hint="eastAsia" w:ascii="仿宋_GB2312" w:eastAsia="仿宋_GB2312" w:cs="仿宋_GB2312"/>
                <w:kern w:val="0"/>
                <w:sz w:val="24"/>
              </w:rPr>
              <w:t>小时自助图书馆”“数字化资源的自助阅览及免费下载”等多种服务融合到一个应用技术服务平台，分步实现鄂州“市</w:t>
            </w:r>
            <w:r>
              <w:rPr>
                <w:rFonts w:ascii="仿宋_GB2312" w:eastAsia="仿宋_GB2312" w:cs="仿宋_GB2312"/>
                <w:kern w:val="0"/>
                <w:sz w:val="24"/>
              </w:rPr>
              <w:t>-</w:t>
            </w:r>
            <w:r>
              <w:rPr>
                <w:rFonts w:hint="eastAsia" w:ascii="仿宋_GB2312" w:eastAsia="仿宋_GB2312" w:cs="仿宋_GB2312"/>
                <w:kern w:val="0"/>
                <w:sz w:val="24"/>
              </w:rPr>
              <w:t>区”两级图书馆图书资源通借通还及业务协作、信息传递、学术交流及办公自动化，实现全市范围内方便、统一、通联的信息服务与读者服务，努力探索网上图书馆与读者互动服务项目的各种新方式。</w:t>
            </w:r>
          </w:p>
          <w:p w14:paraId="50AC3591">
            <w:pPr>
              <w:spacing w:line="400" w:lineRule="exact"/>
              <w:ind w:firstLine="480" w:firstLineChars="200"/>
              <w:rPr>
                <w:rFonts w:ascii="楷体" w:hAnsi="楷体" w:eastAsia="楷体"/>
                <w:sz w:val="24"/>
              </w:rPr>
            </w:pPr>
            <w:r>
              <w:rPr>
                <w:rFonts w:ascii="仿宋_GB2312" w:eastAsia="仿宋_GB2312" w:cs="仿宋_GB2312"/>
                <w:kern w:val="0"/>
                <w:sz w:val="24"/>
              </w:rPr>
              <w:t>3.</w:t>
            </w:r>
            <w:r>
              <w:rPr>
                <w:rFonts w:hint="eastAsia" w:ascii="仿宋_GB2312" w:eastAsia="仿宋_GB2312" w:cs="仿宋_GB2312"/>
                <w:kern w:val="0"/>
                <w:sz w:val="24"/>
              </w:rPr>
              <w:t>公共电子阅览室建设工程。以未成年人、老年人、进城务工人员等群体为重点服务对象，大力推进城乡基层公共电子阅览室建设，努力构建内容安全、服务规范、环境良好、覆盖广泛的公益性互联网服务体系。</w:t>
            </w:r>
          </w:p>
        </w:tc>
      </w:tr>
    </w:tbl>
    <w:p w14:paraId="25E1DC3C">
      <w:pPr>
        <w:pStyle w:val="13"/>
        <w:snapToGrid w:val="0"/>
        <w:spacing w:before="0" w:beforeAutospacing="0" w:after="0" w:afterAutospacing="0" w:line="600" w:lineRule="exact"/>
        <w:jc w:val="both"/>
        <w:rPr>
          <w:rFonts w:ascii="仿宋_GB2312" w:eastAsia="仿宋_GB2312" w:cs="仿宋_GB2312"/>
          <w:sz w:val="32"/>
          <w:szCs w:val="32"/>
        </w:rPr>
      </w:pPr>
      <w:r>
        <w:rPr>
          <w:rFonts w:ascii="仿宋_GB2312" w:eastAsia="仿宋_GB2312" w:cs="仿宋_GB2312"/>
          <w:sz w:val="32"/>
          <w:szCs w:val="32"/>
        </w:rPr>
        <w:t xml:space="preserve">   </w:t>
      </w:r>
    </w:p>
    <w:p w14:paraId="2CB54709">
      <w:pPr>
        <w:pStyle w:val="13"/>
        <w:snapToGrid w:val="0"/>
        <w:spacing w:before="0" w:beforeAutospacing="0" w:after="0" w:afterAutospacing="0" w:line="600" w:lineRule="exact"/>
        <w:ind w:firstLine="640" w:firstLineChars="200"/>
        <w:jc w:val="both"/>
        <w:rPr>
          <w:rFonts w:ascii="仿宋_GB2312" w:hAnsi="楷体_GB2312" w:eastAsia="仿宋_GB2312" w:cs="仿宋_GB2312"/>
          <w:color w:val="000000"/>
          <w:sz w:val="32"/>
          <w:szCs w:val="32"/>
        </w:rPr>
      </w:pPr>
      <w:r>
        <w:rPr>
          <w:rFonts w:hint="eastAsia" w:ascii="仿宋_GB2312" w:hAnsi="楷体_GB2312" w:eastAsia="仿宋_GB2312" w:cs="仿宋_GB2312"/>
          <w:color w:val="000000"/>
          <w:sz w:val="32"/>
          <w:szCs w:val="32"/>
        </w:rPr>
        <w:t>（</w:t>
      </w:r>
      <w:r>
        <w:rPr>
          <w:rFonts w:ascii="仿宋_GB2312" w:hAnsi="楷体_GB2312" w:eastAsia="仿宋_GB2312" w:cs="仿宋_GB2312"/>
          <w:color w:val="000000"/>
          <w:sz w:val="32"/>
          <w:szCs w:val="32"/>
        </w:rPr>
        <w:t>7</w:t>
      </w:r>
      <w:r>
        <w:rPr>
          <w:rFonts w:hint="eastAsia" w:ascii="仿宋_GB2312" w:hAnsi="楷体_GB2312" w:eastAsia="仿宋_GB2312" w:cs="仿宋_GB2312"/>
          <w:color w:val="000000"/>
          <w:sz w:val="32"/>
          <w:szCs w:val="32"/>
        </w:rPr>
        <w:t>）增强公共文化服务发展动力</w:t>
      </w:r>
    </w:p>
    <w:p w14:paraId="7AFA4572">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引导社会力量参与。坚持政府主导、社会参与、共建共享，实现公共文化服务供给方式多元多样。引导社会资本积极参与建设文化项目，兼顾公共文化服务和文化产业发展。继续深化公共文化机构法人治理结构改革。鼓励机关、企事业单位在确保正常工作、教学、生产秩序的前提下，向社会免费或者优惠开放文体科普设施。培育壮大文化类社会组织，发挥行业协会在强化行业自律、提升服务质量等方面的规范指导作用。二是推进政府购买公共文化服务。建立健全政府向社会力量购买公共文化服务机制。制定政府向社会力量购买公共文化服务的目录。建立健全以项目选定、信息发布、资质认定、组织采购、项目监管、绩效评价为主要内容的规范化购买流程。探索建立公共文化服务采购平台，逐步拓展政府购买公共文化服务的领域和范围。三是推进文化志愿服务。建立全市文化志愿服务项目库，推动实施一批社会效益显著的文化志愿服务项目，实现全市公共文化机构文化志愿者队伍全覆盖。组织开展文化志愿服务大赛，实施城乡文化志愿服务对口帮扶计划。提升乡镇综合文化站服务效能，与新时代文明实践中心建设相衔接，组织文化能人、社会文艺爱好者、非遗传承人等加入文明实践活动，探索具有地方或行业特色的文化志愿服务模式。发挥大专院校学生、退休老同志、社会文化从业人员作用，壮大队伍规模。完善文化志愿者注册招募、培训辅导、服务记录、管理评价和激励保障机制，提升志愿服务管理水平。</w:t>
      </w:r>
    </w:p>
    <w:p w14:paraId="1B0C4C91">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8</w:t>
      </w:r>
      <w:r>
        <w:rPr>
          <w:rFonts w:hint="eastAsia" w:ascii="仿宋_GB2312" w:hAnsi="楷体_GB2312" w:eastAsia="仿宋_GB2312" w:cs="仿宋_GB2312"/>
          <w:color w:val="000000"/>
          <w:kern w:val="0"/>
          <w:sz w:val="32"/>
          <w:szCs w:val="32"/>
        </w:rPr>
        <w:t>）推动公共文化服务融合发展</w:t>
      </w:r>
    </w:p>
    <w:p w14:paraId="79787FA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推动公共文化服务机构与文化产业融合发展。实施文化产业提升工程，鼓励有条件的公共文化机构挖掘特色资源，加强文化创意产品研发，创新文化产品和服务内容。广泛开展公益性文化艺术活动，扩大和提升文化消费需求。积极发展与公共文化服务相关联的教育培训、体育健身、演艺会展、旅游休闲等产业，引导和支持文化企业开发公共文化服务产品。二是加强乡村文化治理与乡村振兴战略融合发展。将乡村文化建设融入城乡经济社会发展全局，融入乡村治理体系。深入开展乡镇综合文化站专项治理。推动国家级、省级非遗生产性保护示范基地、非遗展示馆（中心）、重点项目传习所建设，加大非遗项目衍生品和文创产品开发力度，打造鄂州文化遗产品牌。以鄂州民风、民俗、民间歌舞、民间曲艺等优秀传统文化为内容，创作生产更多文学艺术作品。举办文旅农商融合发展的农村特色文化旅游活动，打造特色乡村文化和旅游品牌，拓展乡村文化和旅游发展新模式。</w:t>
      </w:r>
    </w:p>
    <w:p w14:paraId="20C80A7A">
      <w:pPr>
        <w:pStyle w:val="6"/>
        <w:spacing w:before="0" w:after="0" w:line="240" w:lineRule="auto"/>
        <w:ind w:firstLine="627" w:firstLineChars="196"/>
        <w:rPr>
          <w:rFonts w:ascii="仿宋_GB2312" w:eastAsia="仿宋_GB2312"/>
          <w:b w:val="0"/>
          <w:color w:val="000000"/>
        </w:rPr>
      </w:pPr>
      <w:bookmarkStart w:id="175" w:name="_Toc118988233"/>
      <w:bookmarkStart w:id="176" w:name="_Toc96722285"/>
      <w:bookmarkStart w:id="177" w:name="_Toc102401551"/>
      <w:bookmarkStart w:id="178" w:name="_Toc96722284"/>
      <w:bookmarkStart w:id="179" w:name="_Toc102401550"/>
      <w:r>
        <w:rPr>
          <w:rFonts w:ascii="仿宋_GB2312" w:eastAsia="仿宋_GB2312"/>
          <w:b w:val="0"/>
          <w:color w:val="000000"/>
        </w:rPr>
        <w:t>2.</w:t>
      </w:r>
      <w:r>
        <w:rPr>
          <w:rFonts w:hint="eastAsia" w:ascii="仿宋_GB2312" w:eastAsia="仿宋_GB2312"/>
          <w:b w:val="0"/>
          <w:color w:val="000000"/>
        </w:rPr>
        <w:t>加强体育基础设施建设</w:t>
      </w:r>
      <w:bookmarkEnd w:id="175"/>
      <w:bookmarkEnd w:id="176"/>
      <w:bookmarkEnd w:id="177"/>
    </w:p>
    <w:p w14:paraId="5362ED0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）加快全民健身工程设施建设</w:t>
      </w:r>
    </w:p>
    <w:p w14:paraId="5F055FFD">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认真贯彻落实国家发改委，体育总局关于印发《“十四五”时期全民健身设施补短板工程实施方案》，充分利用城市园林以及城市金边银角，挖掘开发利用旧厂房、屋顶、高架桥下及江边河滩等空地，建成改建一批体育公园、健身步道、打造全民健身新载体。</w:t>
      </w:r>
    </w:p>
    <w:p w14:paraId="3EEB767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推进鄂州市体育中心、梁子湖区体育运动中心、华容区体育中心建设。完成明塘体育场维修改造及吴都生态廊道全民健身区的建设。完善一批具有鄂州特色的全民健身区、健身步道、环湖绿道、骑行道、体育公园、社区多功能运动场、休闲驿站等体育公共基础设施。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年，建成涵盖区、乡镇（街道）、村（社区）的三级公共体育设施网络，新建省级全民健身示范工程</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个，人均体育场地面积不低于</w:t>
      </w:r>
      <w:r>
        <w:rPr>
          <w:rFonts w:ascii="仿宋_GB2312" w:hAnsi="楷体_GB2312" w:eastAsia="仿宋_GB2312" w:cs="仿宋_GB2312"/>
          <w:color w:val="000000"/>
          <w:kern w:val="0"/>
          <w:sz w:val="32"/>
          <w:szCs w:val="32"/>
        </w:rPr>
        <w:t>3.9</w:t>
      </w:r>
      <w:r>
        <w:rPr>
          <w:rFonts w:hint="eastAsia" w:ascii="仿宋_GB2312" w:hAnsi="楷体_GB2312" w:eastAsia="仿宋_GB2312" w:cs="仿宋_GB2312"/>
          <w:color w:val="000000"/>
          <w:kern w:val="0"/>
          <w:sz w:val="32"/>
          <w:szCs w:val="32"/>
        </w:rPr>
        <w:t>平方米，在城镇社区实现“</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分钟健身圈”全覆盖。</w:t>
      </w:r>
    </w:p>
    <w:p w14:paraId="6C15B866">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4EA4A7A4">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6AFF7BD2">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4-4  </w:t>
            </w:r>
            <w:r>
              <w:rPr>
                <w:rFonts w:hint="eastAsia" w:ascii="仿宋_GB2312" w:hAnsi="楷体" w:eastAsia="仿宋_GB2312"/>
                <w:color w:val="000000"/>
                <w:sz w:val="24"/>
              </w:rPr>
              <w:t>全民体育及健身工程</w:t>
            </w:r>
          </w:p>
        </w:tc>
      </w:tr>
      <w:tr w14:paraId="3F64C96E">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4428A448">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市体育中心。项目选址于鄂州市吴楚大道北侧，项目总建筑面积</w:t>
            </w:r>
            <w:r>
              <w:rPr>
                <w:rFonts w:ascii="仿宋_GB2312" w:eastAsia="仿宋_GB2312" w:cs="仿宋_GB2312"/>
                <w:color w:val="000000"/>
                <w:kern w:val="0"/>
                <w:sz w:val="24"/>
              </w:rPr>
              <w:t>190000</w:t>
            </w:r>
            <w:r>
              <w:rPr>
                <w:rFonts w:hint="eastAsia" w:ascii="仿宋_GB2312" w:eastAsia="仿宋_GB2312" w:cs="仿宋_GB2312"/>
                <w:color w:val="000000"/>
                <w:kern w:val="0"/>
                <w:sz w:val="24"/>
              </w:rPr>
              <w:t>平方米（室内部分包括体育场，体育馆，游泳馆，全民健身综合训练馆及其他配套设施）。室外部分主要包括室外足球场、网球场、篮球场、排球场、羽毛球场、健身设施及室外广场、绿化、道路、生态停车场及市政配套工程。</w:t>
            </w:r>
          </w:p>
          <w:p w14:paraId="062AB178">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吴都生态廊道全民健身区。项目建设地址位于吴都生态廊道范围内，滨湖西路至黄龙路段。总建筑面积</w:t>
            </w:r>
            <w:r>
              <w:rPr>
                <w:rFonts w:ascii="仿宋_GB2312" w:eastAsia="仿宋_GB2312" w:cs="仿宋_GB2312"/>
                <w:color w:val="000000"/>
                <w:kern w:val="0"/>
                <w:sz w:val="24"/>
              </w:rPr>
              <w:t>12614</w:t>
            </w:r>
            <w:r>
              <w:rPr>
                <w:rFonts w:hint="eastAsia" w:ascii="仿宋_GB2312" w:eastAsia="仿宋_GB2312" w:cs="仿宋_GB2312"/>
                <w:color w:val="000000"/>
                <w:kern w:val="0"/>
                <w:sz w:val="24"/>
              </w:rPr>
              <w:t>平方米，其中</w:t>
            </w:r>
            <w:r>
              <w:rPr>
                <w:rFonts w:ascii="仿宋_GB2312" w:eastAsia="仿宋_GB2312" w:cs="仿宋_GB2312"/>
                <w:color w:val="000000"/>
                <w:kern w:val="0"/>
                <w:sz w:val="24"/>
              </w:rPr>
              <w:t>5</w:t>
            </w:r>
            <w:r>
              <w:rPr>
                <w:rFonts w:hint="eastAsia" w:ascii="仿宋_GB2312" w:eastAsia="仿宋_GB2312" w:cs="仿宋_GB2312"/>
                <w:color w:val="000000"/>
                <w:kern w:val="0"/>
                <w:sz w:val="24"/>
              </w:rPr>
              <w:t>人制足球场</w:t>
            </w:r>
            <w:r>
              <w:rPr>
                <w:rFonts w:ascii="仿宋_GB2312" w:eastAsia="仿宋_GB2312" w:cs="仿宋_GB2312"/>
                <w:color w:val="000000"/>
                <w:kern w:val="0"/>
                <w:sz w:val="24"/>
              </w:rPr>
              <w:t>4</w:t>
            </w:r>
            <w:r>
              <w:rPr>
                <w:rFonts w:hint="eastAsia" w:ascii="仿宋_GB2312" w:eastAsia="仿宋_GB2312" w:cs="仿宋_GB2312"/>
                <w:color w:val="000000"/>
                <w:kern w:val="0"/>
                <w:sz w:val="24"/>
              </w:rPr>
              <w:t>片，篮球场</w:t>
            </w:r>
            <w:r>
              <w:rPr>
                <w:rFonts w:ascii="仿宋_GB2312" w:eastAsia="仿宋_GB2312" w:cs="仿宋_GB2312"/>
                <w:color w:val="000000"/>
                <w:kern w:val="0"/>
                <w:sz w:val="24"/>
              </w:rPr>
              <w:t>5</w:t>
            </w:r>
            <w:r>
              <w:rPr>
                <w:rFonts w:hint="eastAsia" w:ascii="仿宋_GB2312" w:eastAsia="仿宋_GB2312" w:cs="仿宋_GB2312"/>
                <w:color w:val="000000"/>
                <w:kern w:val="0"/>
                <w:sz w:val="24"/>
              </w:rPr>
              <w:t>片，网球场</w:t>
            </w:r>
            <w:r>
              <w:rPr>
                <w:rFonts w:ascii="仿宋_GB2312" w:eastAsia="仿宋_GB2312" w:cs="仿宋_GB2312"/>
                <w:color w:val="000000"/>
                <w:kern w:val="0"/>
                <w:sz w:val="24"/>
              </w:rPr>
              <w:t>3</w:t>
            </w:r>
            <w:r>
              <w:rPr>
                <w:rFonts w:hint="eastAsia" w:ascii="仿宋_GB2312" w:eastAsia="仿宋_GB2312" w:cs="仿宋_GB2312"/>
                <w:color w:val="000000"/>
                <w:kern w:val="0"/>
                <w:sz w:val="24"/>
              </w:rPr>
              <w:t>片，排球场</w:t>
            </w:r>
            <w:r>
              <w:rPr>
                <w:rFonts w:ascii="仿宋_GB2312" w:eastAsia="仿宋_GB2312" w:cs="仿宋_GB2312"/>
                <w:color w:val="000000"/>
                <w:kern w:val="0"/>
                <w:sz w:val="24"/>
              </w:rPr>
              <w:t>1</w:t>
            </w:r>
            <w:r>
              <w:rPr>
                <w:rFonts w:hint="eastAsia" w:ascii="仿宋_GB2312" w:eastAsia="仿宋_GB2312" w:cs="仿宋_GB2312"/>
                <w:color w:val="000000"/>
                <w:kern w:val="0"/>
                <w:sz w:val="24"/>
              </w:rPr>
              <w:t>片、中心广场及相关配套设施等工程。</w:t>
            </w:r>
          </w:p>
          <w:p w14:paraId="599E6C99">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华容区体育中心项目。包括体育馆（主场馆）、标准足球场、功能用房、室外健身活动场地等。其中：体育中心主场馆建筑面积为</w:t>
            </w:r>
            <w:r>
              <w:rPr>
                <w:rFonts w:ascii="仿宋_GB2312" w:eastAsia="仿宋_GB2312" w:cs="仿宋_GB2312"/>
                <w:color w:val="000000"/>
                <w:kern w:val="0"/>
                <w:sz w:val="24"/>
              </w:rPr>
              <w:t>8000-12000</w:t>
            </w:r>
            <w:r>
              <w:rPr>
                <w:rFonts w:hint="eastAsia" w:ascii="仿宋_GB2312" w:eastAsia="仿宋_GB2312" w:cs="仿宋_GB2312"/>
                <w:color w:val="000000"/>
                <w:kern w:val="0"/>
                <w:sz w:val="24"/>
              </w:rPr>
              <w:t>平方米；标准足球场及其他室外体育场地</w:t>
            </w:r>
            <w:r>
              <w:rPr>
                <w:rFonts w:ascii="仿宋_GB2312" w:eastAsia="仿宋_GB2312" w:cs="仿宋_GB2312"/>
                <w:color w:val="000000"/>
                <w:kern w:val="0"/>
                <w:sz w:val="24"/>
              </w:rPr>
              <w:t>18000</w:t>
            </w:r>
            <w:r>
              <w:rPr>
                <w:rFonts w:hint="eastAsia" w:ascii="仿宋_GB2312" w:eastAsia="仿宋_GB2312" w:cs="仿宋_GB2312"/>
                <w:color w:val="000000"/>
                <w:kern w:val="0"/>
                <w:sz w:val="24"/>
              </w:rPr>
              <w:t>平方米。</w:t>
            </w:r>
          </w:p>
          <w:p w14:paraId="4723148A">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、梁子湖区体育运动中心。项目选址于梁子湖区太和镇。建设内容包括体育场、体育馆、游泳馆，兼顾公共卫生方舱医院功能。体育场总占地面积为</w:t>
            </w:r>
            <w:r>
              <w:rPr>
                <w:rFonts w:ascii="仿宋_GB2312" w:eastAsia="仿宋_GB2312" w:cs="仿宋_GB2312"/>
                <w:color w:val="000000"/>
                <w:kern w:val="0"/>
                <w:sz w:val="24"/>
              </w:rPr>
              <w:t>20000</w:t>
            </w:r>
            <w:r>
              <w:rPr>
                <w:rFonts w:hint="eastAsia" w:ascii="仿宋_GB2312" w:eastAsia="仿宋_GB2312" w:cs="仿宋_GB2312"/>
                <w:color w:val="000000"/>
                <w:kern w:val="0"/>
                <w:sz w:val="24"/>
              </w:rPr>
              <w:t>平方米，体育馆占地面积</w:t>
            </w:r>
            <w:r>
              <w:rPr>
                <w:rFonts w:ascii="仿宋_GB2312" w:eastAsia="仿宋_GB2312" w:cs="仿宋_GB2312"/>
                <w:color w:val="000000"/>
                <w:kern w:val="0"/>
                <w:sz w:val="24"/>
              </w:rPr>
              <w:t>8000</w:t>
            </w:r>
            <w:r>
              <w:rPr>
                <w:rFonts w:hint="eastAsia" w:ascii="仿宋_GB2312" w:eastAsia="仿宋_GB2312" w:cs="仿宋_GB2312"/>
                <w:color w:val="000000"/>
                <w:kern w:val="0"/>
                <w:sz w:val="24"/>
              </w:rPr>
              <w:t>平方米。</w:t>
            </w:r>
          </w:p>
          <w:p w14:paraId="613DBCFD">
            <w:pPr>
              <w:spacing w:line="38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、葛店文体公园。选址于葛店完全中学（在建）以东，湖北幼儿师范高等专科学校西南侧，东南至航海路，西北至学府路。项目占地</w:t>
            </w:r>
            <w:r>
              <w:rPr>
                <w:rFonts w:ascii="仿宋_GB2312" w:eastAsia="仿宋_GB2312" w:cs="仿宋_GB2312"/>
                <w:color w:val="000000"/>
                <w:kern w:val="0"/>
                <w:sz w:val="24"/>
              </w:rPr>
              <w:t>1100</w:t>
            </w:r>
            <w:r>
              <w:rPr>
                <w:rFonts w:hint="eastAsia" w:ascii="仿宋_GB2312" w:eastAsia="仿宋_GB2312" w:cs="仿宋_GB2312"/>
                <w:color w:val="000000"/>
                <w:kern w:val="0"/>
                <w:sz w:val="24"/>
              </w:rPr>
              <w:t>亩，建设集沐武广场、体育中心、篮球馆、游泳馆、图书馆、博物馆、科技馆、文化馆、青少年活动场、湿地景观、配套商业等为一体的综合体育主题场地。</w:t>
            </w:r>
          </w:p>
        </w:tc>
      </w:tr>
    </w:tbl>
    <w:p w14:paraId="65D85D2D">
      <w:pPr>
        <w:pStyle w:val="2"/>
      </w:pPr>
    </w:p>
    <w:p w14:paraId="5A468B4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）推动大型体育场馆“两改”</w:t>
      </w:r>
    </w:p>
    <w:p w14:paraId="3AB1D85B">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加快体育场所</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网络建设，推动</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与</w:t>
      </w:r>
      <w:r>
        <w:rPr>
          <w:rFonts w:ascii="仿宋_GB2312" w:hAnsi="楷体_GB2312" w:eastAsia="仿宋_GB2312" w:cs="仿宋_GB2312"/>
          <w:color w:val="000000"/>
          <w:kern w:val="0"/>
          <w:sz w:val="32"/>
          <w:szCs w:val="32"/>
        </w:rPr>
        <w:t>VR/AR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4K/8K</w:t>
      </w:r>
      <w:r>
        <w:rPr>
          <w:rFonts w:hint="eastAsia" w:ascii="仿宋_GB2312" w:hAnsi="楷体_GB2312" w:eastAsia="仿宋_GB2312" w:cs="仿宋_GB2312"/>
          <w:color w:val="000000"/>
          <w:kern w:val="0"/>
          <w:sz w:val="32"/>
          <w:szCs w:val="32"/>
        </w:rPr>
        <w:t>超高清视频等技术相结合，打造智慧型体育场馆。在新建和改扩建体育场馆中，强化体育场馆应急救援功能设计，推行设计、建设、运营一体化模式，促进体育功能与应急功能、赛事功能与赛后利用有机结合。加快推进公共体育场馆所有权与经营权分离，积极引进和培育专业体育场馆运营主体，推动体育场馆品牌和管理模式输出。</w:t>
      </w:r>
    </w:p>
    <w:p w14:paraId="2ECC6F3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）加强城市社区足球场地设施建设</w:t>
      </w:r>
    </w:p>
    <w:p w14:paraId="2734FD8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落实住建部、体育总局联合出台的《关于全面推进城市社区足球场地设施建设的意见》，“十四五”期间，结合全民健身场地设施建设要求，有序推进社区足球场地设施建设工作。</w:t>
      </w:r>
    </w:p>
    <w:p w14:paraId="02E8A1A9">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w:t>
      </w:r>
      <w:r>
        <w:rPr>
          <w:rFonts w:hint="eastAsia" w:ascii="仿宋_GB2312" w:hAnsi="楷体_GB2312" w:eastAsia="仿宋_GB2312" w:cs="仿宋_GB2312"/>
          <w:color w:val="000000"/>
          <w:spacing w:val="-6"/>
          <w:kern w:val="0"/>
          <w:sz w:val="32"/>
          <w:szCs w:val="32"/>
        </w:rPr>
        <w:t>加快推动现有各类公共体育设施免费或低收费开放</w:t>
      </w:r>
    </w:p>
    <w:p w14:paraId="64E4D165">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动体育场馆设施共享共建共用，提升社会资源有效使用率。落实好国家体育彩票公益金支持地方全民健身计划、大型体育场馆免费低收费开放补助制资金的管理使用。积极推动学校体育场地及公共体育设施向社会公众免费或低收费开放。</w:t>
      </w:r>
    </w:p>
    <w:p w14:paraId="7F5FFD02">
      <w:pPr>
        <w:pStyle w:val="6"/>
        <w:spacing w:before="0" w:after="0" w:line="560" w:lineRule="exact"/>
        <w:ind w:firstLine="627" w:firstLineChars="196"/>
        <w:rPr>
          <w:rFonts w:ascii="仿宋_GB2312" w:eastAsia="仿宋_GB2312"/>
          <w:b w:val="0"/>
          <w:color w:val="000000"/>
        </w:rPr>
      </w:pPr>
      <w:bookmarkStart w:id="180" w:name="_Toc118988234"/>
      <w:r>
        <w:rPr>
          <w:rFonts w:ascii="仿宋_GB2312" w:eastAsia="仿宋_GB2312"/>
          <w:b w:val="0"/>
          <w:color w:val="000000"/>
        </w:rPr>
        <w:t>3.</w:t>
      </w:r>
      <w:r>
        <w:rPr>
          <w:rFonts w:hint="eastAsia" w:ascii="仿宋_GB2312" w:eastAsia="仿宋_GB2312"/>
          <w:b w:val="0"/>
          <w:color w:val="000000"/>
        </w:rPr>
        <w:t>完善广电公共服务体系建设</w:t>
      </w:r>
      <w:bookmarkEnd w:id="178"/>
      <w:bookmarkEnd w:id="179"/>
      <w:bookmarkEnd w:id="180"/>
    </w:p>
    <w:p w14:paraId="71A977D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）构建现代广播电视公共服务体系</w:t>
      </w:r>
    </w:p>
    <w:p w14:paraId="1D072C5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加强鄂州市广播电台、电视台、微波发射站的建设工作。推进广播电视直播“户户通”、广播电视无线数字化覆盖工程、农村乡镇有线电视联网，全面完善“村村响”工程。大力推进“智慧广电</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公共服务”，将全市广播电视公共服务纳入基层宣传思想文化阵地建设，并统筹推进。坚持“补短板、强弱项、提质量、增效能”，以农村和基层为重点，发挥行业优势，巩固拓展脱贫攻坚成果同乡村振兴有效衔接。建立健全广播电视运行维护体系，加快乡镇服务网点建设，因地制宜建立完善村级服务网络。打通农村地区现代公共文化服务的“最后一公里”。加强绩效管理，规范资金使用和服务程序，进一步加强公共服务长效运行维护体系建设，推进公共服务标准化，以标准化促进均等化、普惠化、便捷化，构建鄂州现代广播电视公共服务体系，不断提升鄂州人民的获得感、幸福感和安全感。</w:t>
      </w:r>
    </w:p>
    <w:p w14:paraId="5365B4F7">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）推进广电应急体系建设工程</w:t>
      </w:r>
    </w:p>
    <w:p w14:paraId="183D253F">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贯彻落实国家广播电视总局《关于加强广播电视公共服务体系建设的指导意见》，以“立足基本，优化升级”为根本要求，充分利用鄂州市现有的广播电视播出传输覆盖网络，建立覆盖全面、调度灵活、指挥便捷、安全可靠、平战结合的应急广播系统，提高鄂州市应对突发事件的应急处置能力。</w:t>
      </w:r>
    </w:p>
    <w:p w14:paraId="6A82A416">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）升级完善广电覆盖网络</w:t>
      </w:r>
    </w:p>
    <w:p w14:paraId="0C5C2A9C">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完善直播卫星“户户通”建设，推进直播卫星设备改造升级，加强直播卫星接收设施管理，确保全市群众都能正常收听收看广播电视节目。推进频率变更协调工作，完善高清节目地面传输覆盖网和数字音频覆盖网建设，推进广播电视发射台优化改造，完善广播电视信号源传输网络建设，巩固广播电视惠民工程成果，提高公共服务覆盖面和基础设施支撑服务能力，不断满足人民对广播电视公共服务的需要。</w:t>
      </w:r>
    </w:p>
    <w:p w14:paraId="4DA809CA">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）完善广播电视安全播出管理和监管体系</w:t>
      </w:r>
    </w:p>
    <w:p w14:paraId="0F92CD0E">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按照广播电视安全播出管理有关规定，主动适应广播电视安全播出管理新要求，健全广电行业网络安全监管机制。压实安全播出主体责任，强化日常管理和防范</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加强应急处理指挥调度、保障期的管理</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深入开展隐患排查整改</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落实网络安全等级保护制度，建设安全传输和安全播出保障体系。积极防控新技术、新应用、新业态、新服务可能带来的安全风险和隐患，促进治理体系治理能力现代化。</w:t>
      </w:r>
    </w:p>
    <w:p w14:paraId="1671A626">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717FEC49">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7CF80CD5">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4-5  </w:t>
            </w:r>
            <w:r>
              <w:rPr>
                <w:rFonts w:hint="eastAsia" w:ascii="仿宋_GB2312" w:hAnsi="楷体" w:eastAsia="仿宋_GB2312"/>
                <w:color w:val="000000"/>
                <w:sz w:val="24"/>
              </w:rPr>
              <w:t>重大广电基础设施建设提升工程</w:t>
            </w:r>
          </w:p>
        </w:tc>
      </w:tr>
      <w:tr w14:paraId="416E9F18">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14:paraId="268B04EA">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现代化广播电视公共服务体系建设工程：推进广播电视基本公共服务标准化建设，重点完善设施设备布局和建设、人员配备、服务管理的行业标准规范。推进广播电视基本公共服务均等化建设，提升广播电视综合人口覆盖率，提供应急广播服务。采取项目补贴、定向资助、贷款贴息等政策，支持各类社会组织和机构参与广播电视公共服务。完善运行维护体系，强化公共服务长效运行维护体系，促进服务水平不断提升。</w:t>
            </w:r>
            <w:r>
              <w:rPr>
                <w:rFonts w:ascii="仿宋_GB2312" w:eastAsia="仿宋_GB2312" w:cs="仿宋_GB2312"/>
                <w:color w:val="000000"/>
                <w:kern w:val="0"/>
                <w:sz w:val="24"/>
              </w:rPr>
              <w:t xml:space="preserve"> </w:t>
            </w:r>
          </w:p>
          <w:p w14:paraId="55CB2A02">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应急广播体系建设工程：进一步完善应急广播平台和数字有线电视、中波调频、市新闻节目调频同步广播网的接口对接，建成市、区、镇、村四级贯通的应急广播体系，将鄂州广播电视台综合广播作为应急广播频道。推动建立与上一级应急广播平台和对应等级应急发布部门的对接机制，完善应急广播系统管理、运行和维护机制，向城乡居民提供灾害预警应急广播和政务信息发布、政务宣讲服务。</w:t>
            </w:r>
            <w:r>
              <w:rPr>
                <w:rFonts w:ascii="仿宋_GB2312" w:eastAsia="仿宋_GB2312" w:cs="仿宋_GB2312"/>
                <w:color w:val="000000"/>
                <w:kern w:val="0"/>
                <w:sz w:val="24"/>
              </w:rPr>
              <w:t xml:space="preserve"> </w:t>
            </w:r>
          </w:p>
          <w:p w14:paraId="17F69352">
            <w:pPr>
              <w:spacing w:line="40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安全保障工程：加强设备设施保护能力，严格执行重大事件事故上报和零报告机制。加强技术创新研究，充分利用安全播出指挥调度平台等信息化手段，拓展指挥调度平台应用场景，综合提升安全播出能力。建立健全网络安全监测和安全攻防演练机制，完善安全播出和网络安全督查检查机制，以制度保障促进广播电视和网络视听的安全保障工作。</w:t>
            </w:r>
          </w:p>
        </w:tc>
      </w:tr>
    </w:tbl>
    <w:p w14:paraId="39931B6B">
      <w:pPr>
        <w:pStyle w:val="2"/>
      </w:pPr>
      <w:bookmarkStart w:id="181" w:name="_Toc96722286"/>
      <w:bookmarkStart w:id="182" w:name="_Toc102401552"/>
    </w:p>
    <w:p w14:paraId="7A7E21FE">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加快文旅体广科技创新</w:t>
      </w:r>
      <w:bookmarkEnd w:id="181"/>
      <w:bookmarkEnd w:id="182"/>
    </w:p>
    <w:p w14:paraId="0918618D">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）搭建智慧旅游平台，推进智慧鄂州建设</w:t>
      </w:r>
    </w:p>
    <w:p w14:paraId="14285EF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打造智慧旅游发展平台。通过搭建技术平台，覆盖游前、游中、游后全场景，助力“一部手机游鄂州”。完善服务功能，推进智慧景区建设，借助移动端设置门票预约、景点推荐、酒店预订等旅游服务功能，提供全方位的旅游信息、个性化服务以及安全规范的旅游环境，为游客提供便捷高效的旅游体验。推动旅游与相关部门统计数据的互联共享，为政府和企业提供辅助决策支持，提升鄂州旅游公共服务和管理水平。</w:t>
      </w:r>
    </w:p>
    <w:p w14:paraId="7F9FF6E1">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）打造智慧体育发展平台，探索智慧体育未来样板</w:t>
      </w:r>
    </w:p>
    <w:p w14:paraId="02F2F3C0">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探索构建鄂州市全民数字健身服务平台和公共体育设施电子地图。通过平台对健身设施进行数字化精准管理，提升智慧化全民健身公共服务水平。推进智慧体育设施建设。加强智慧健身路径、智慧健身步道、智慧体育公园建设，提升智慧化全民健身公共服务能力。鼓励社会力量建设分布于城乡社区、商圈、园区的智慧健身中心、智慧健身馆。探索智慧体育未来样板。启动鄂州智慧场馆、智慧赛事、智慧驿站、智慧健身房等体育智慧设施建设。</w:t>
      </w:r>
    </w:p>
    <w:p w14:paraId="10F54797">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rPr>
        <w:t>）积极实施智慧广电战略，提升行业智慧服务能力</w:t>
      </w:r>
    </w:p>
    <w:p w14:paraId="3FD9DECD">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加强广播电视“云、网、端”资源要素有效整合。进一步深化媒体融合，全面实现“人人通”“移动通”“终端通”。构建现代媒体传播矩阵。加快智慧广电网络建设，以全国有线电视网络整合为契机，配合广电</w:t>
      </w:r>
      <w:r>
        <w:rPr>
          <w:rFonts w:ascii="仿宋_GB2312" w:hAnsi="仿宋_GB2312" w:eastAsia="仿宋_GB2312" w:cs="仿宋_GB2312"/>
          <w:color w:val="000000"/>
          <w:kern w:val="0"/>
          <w:sz w:val="32"/>
          <w:szCs w:val="32"/>
        </w:rPr>
        <w:t>5G</w:t>
      </w:r>
      <w:r>
        <w:rPr>
          <w:rFonts w:hint="eastAsia" w:ascii="仿宋_GB2312" w:hAnsi="仿宋_GB2312" w:eastAsia="仿宋_GB2312" w:cs="仿宋_GB2312"/>
          <w:color w:val="000000"/>
          <w:kern w:val="0"/>
          <w:sz w:val="32"/>
          <w:szCs w:val="32"/>
        </w:rPr>
        <w:t>建设、</w:t>
      </w:r>
      <w:r>
        <w:rPr>
          <w:rFonts w:ascii="仿宋_GB2312" w:hAnsi="仿宋_GB2312" w:eastAsia="仿宋_GB2312" w:cs="仿宋_GB2312"/>
          <w:color w:val="000000"/>
          <w:kern w:val="0"/>
          <w:sz w:val="32"/>
          <w:szCs w:val="32"/>
        </w:rPr>
        <w:t>IPv6</w:t>
      </w:r>
      <w:r>
        <w:rPr>
          <w:rFonts w:hint="eastAsia" w:ascii="仿宋_GB2312" w:hAnsi="仿宋_GB2312" w:eastAsia="仿宋_GB2312" w:cs="仿宋_GB2312"/>
          <w:color w:val="000000"/>
          <w:kern w:val="0"/>
          <w:sz w:val="32"/>
          <w:szCs w:val="32"/>
        </w:rPr>
        <w:t>规模部署一体化推进，加快鄂州有线电视网络云化、光纤化、</w:t>
      </w:r>
      <w:r>
        <w:rPr>
          <w:rFonts w:ascii="仿宋_GB2312" w:hAnsi="仿宋_GB2312" w:eastAsia="仿宋_GB2312" w:cs="仿宋_GB2312"/>
          <w:color w:val="000000"/>
          <w:kern w:val="0"/>
          <w:sz w:val="32"/>
          <w:szCs w:val="32"/>
        </w:rPr>
        <w:t>IP</w:t>
      </w:r>
      <w:r>
        <w:rPr>
          <w:rFonts w:hint="eastAsia" w:ascii="仿宋_GB2312" w:hAnsi="仿宋_GB2312" w:eastAsia="仿宋_GB2312" w:cs="仿宋_GB2312"/>
          <w:color w:val="000000"/>
          <w:kern w:val="0"/>
          <w:sz w:val="32"/>
          <w:szCs w:val="32"/>
        </w:rPr>
        <w:t>化、超高清化改造，推进有线电视网络数字化转型升级，推进“智慧鄂州”建设。积极推动智慧广电与文化、旅游、体育等相关行业的业务合作和业态创新，逐步推广跨行业智慧广电特色应用。</w:t>
      </w:r>
    </w:p>
    <w:p w14:paraId="36206B0D">
      <w:pPr>
        <w:pStyle w:val="5"/>
        <w:spacing w:before="0" w:after="0" w:line="560" w:lineRule="exact"/>
        <w:ind w:firstLine="630" w:firstLineChars="196"/>
        <w:rPr>
          <w:rFonts w:ascii="仿宋_GB2312" w:hAnsi="仿宋_GB2312" w:eastAsia="仿宋_GB2312" w:cs="仿宋_GB2312"/>
          <w:color w:val="000000"/>
        </w:rPr>
      </w:pPr>
      <w:bookmarkStart w:id="183" w:name="_Toc96722287"/>
      <w:bookmarkStart w:id="184" w:name="_Toc118988235"/>
      <w:bookmarkStart w:id="185" w:name="_Toc102401553"/>
      <w:r>
        <w:rPr>
          <w:rFonts w:hint="eastAsia" w:ascii="宋体" w:hAnsi="宋体" w:eastAsia="宋体" w:cs="宋体"/>
          <w:bCs w:val="0"/>
          <w:color w:val="000000"/>
        </w:rPr>
        <w:t>（三）提升治理水平，强化市场监管力度</w:t>
      </w:r>
      <w:bookmarkEnd w:id="183"/>
      <w:bookmarkEnd w:id="184"/>
      <w:bookmarkEnd w:id="185"/>
    </w:p>
    <w:p w14:paraId="5C696003">
      <w:pPr>
        <w:pStyle w:val="6"/>
        <w:spacing w:before="0" w:after="0" w:line="560" w:lineRule="exact"/>
        <w:ind w:firstLine="627" w:firstLineChars="196"/>
        <w:rPr>
          <w:rFonts w:ascii="仿宋_GB2312" w:eastAsia="仿宋_GB2312"/>
          <w:b w:val="0"/>
          <w:color w:val="000000"/>
        </w:rPr>
      </w:pPr>
      <w:bookmarkStart w:id="186" w:name="_Toc118988236"/>
      <w:bookmarkStart w:id="187" w:name="_Toc96722288"/>
      <w:bookmarkStart w:id="188" w:name="_Toc102401554"/>
      <w:r>
        <w:rPr>
          <w:rFonts w:ascii="仿宋_GB2312" w:eastAsia="仿宋_GB2312"/>
          <w:b w:val="0"/>
          <w:color w:val="000000"/>
        </w:rPr>
        <w:t>1.</w:t>
      </w:r>
      <w:r>
        <w:rPr>
          <w:rFonts w:hint="eastAsia" w:ascii="仿宋_GB2312" w:eastAsia="仿宋_GB2312"/>
          <w:b w:val="0"/>
          <w:color w:val="000000"/>
        </w:rPr>
        <w:t>净化旅游消费环境</w:t>
      </w:r>
      <w:bookmarkEnd w:id="186"/>
      <w:bookmarkEnd w:id="187"/>
      <w:bookmarkEnd w:id="188"/>
    </w:p>
    <w:p w14:paraId="69BB5198">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）实现旅游治理现代化</w:t>
      </w:r>
    </w:p>
    <w:p w14:paraId="2F51EAC4">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监管体系建设。加强对旅行社、导游的监管，探索通过信息技术等现代化手段，逐步建立以大数据为依托的“云监管”服务平台，完善旅游全过程的质量安全追溯专项功能，在旅游安全、标准制订、服务质量等方面构建具有示范意义的现代化监管体系。搭建鄂州市旅游住宿业管理平台，进一步完善旅游行程各要素电子行程系统机制。创新检查方式，探索委托第三方机构开展“体验式暗访工作”。加强旅游安全监管，提升景区应对极端天气的应急处置能力。加强诚信体系建设，建设旅游经营者和从业人员“红黑名单”动态管理机制，完善重大信息公告、消费投诉信息和违规记录公示制度。开展文明旅游活动，推进守法诚信褒奖机制和违法失信行为联合惩戒机制落地。完善投诉体系建设。严格按照《旅游投诉处理办法》做好旅游投诉和受理工作。充分发挥“</w:t>
      </w:r>
      <w:r>
        <w:rPr>
          <w:rFonts w:ascii="仿宋_GB2312" w:hAnsi="仿宋_GB2312" w:eastAsia="仿宋_GB2312" w:cs="仿宋_GB2312"/>
          <w:color w:val="000000"/>
          <w:kern w:val="0"/>
          <w:sz w:val="32"/>
          <w:szCs w:val="32"/>
        </w:rPr>
        <w:t>12345</w:t>
      </w:r>
      <w:r>
        <w:rPr>
          <w:rFonts w:hint="eastAsia" w:ascii="仿宋_GB2312" w:hAnsi="仿宋_GB2312" w:eastAsia="仿宋_GB2312" w:cs="仿宋_GB2312"/>
          <w:color w:val="000000"/>
          <w:kern w:val="0"/>
          <w:sz w:val="32"/>
          <w:szCs w:val="32"/>
        </w:rPr>
        <w:t>”政府公共热线等社会及公众的旅游监督作用，将投诉及时处理进度作为考核评价的重要指标。对一年内发生过重大安全事故、重大旅游市场投诉的旅游企业予以严惩。</w:t>
      </w:r>
    </w:p>
    <w:p w14:paraId="6F19558D">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）促进旅游质量标准化</w:t>
      </w:r>
    </w:p>
    <w:p w14:paraId="538CE93B">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贯彻旅游标准。大力推广“</w:t>
      </w:r>
      <w:r>
        <w:rPr>
          <w:rFonts w:ascii="仿宋_GB2312" w:hAnsi="仿宋_GB2312" w:eastAsia="仿宋_GB2312" w:cs="仿宋_GB2312"/>
          <w:color w:val="000000"/>
          <w:kern w:val="0"/>
          <w:sz w:val="32"/>
          <w:szCs w:val="32"/>
        </w:rPr>
        <w:t>ISO9001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ISO14001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ISO45001</w:t>
      </w:r>
      <w:r>
        <w:rPr>
          <w:rFonts w:hint="eastAsia" w:ascii="仿宋_GB2312" w:hAnsi="仿宋_GB2312" w:eastAsia="仿宋_GB2312" w:cs="仿宋_GB2312"/>
          <w:color w:val="000000"/>
          <w:kern w:val="0"/>
          <w:sz w:val="32"/>
          <w:szCs w:val="32"/>
        </w:rPr>
        <w:t>”等国际标准的应用，推动更多涉旅企业开展</w:t>
      </w:r>
      <w:r>
        <w:rPr>
          <w:rFonts w:ascii="仿宋_GB2312" w:hAnsi="仿宋_GB2312" w:eastAsia="仿宋_GB2312" w:cs="仿宋_GB2312"/>
          <w:color w:val="000000"/>
          <w:kern w:val="0"/>
          <w:sz w:val="32"/>
          <w:szCs w:val="32"/>
        </w:rPr>
        <w:t>ISO</w:t>
      </w:r>
      <w:r>
        <w:rPr>
          <w:rFonts w:hint="eastAsia" w:ascii="仿宋_GB2312" w:hAnsi="仿宋_GB2312" w:eastAsia="仿宋_GB2312" w:cs="仿宋_GB2312"/>
          <w:color w:val="000000"/>
          <w:kern w:val="0"/>
          <w:sz w:val="32"/>
          <w:szCs w:val="32"/>
        </w:rPr>
        <w:t>认证，对通过认证的企业予以适当奖励。定期开展旅游标准化培训，加大旅游标准化试点单位培育力度，加强等级评定，持续提升旅游行业服务管理水平。</w:t>
      </w:r>
    </w:p>
    <w:p w14:paraId="441F57D9">
      <w:pPr>
        <w:pStyle w:val="6"/>
        <w:spacing w:before="0" w:after="0" w:line="560" w:lineRule="exact"/>
        <w:ind w:firstLine="627" w:firstLineChars="196"/>
        <w:rPr>
          <w:rFonts w:ascii="仿宋_GB2312" w:eastAsia="仿宋_GB2312"/>
          <w:b w:val="0"/>
          <w:color w:val="000000"/>
        </w:rPr>
      </w:pPr>
      <w:bookmarkStart w:id="189" w:name="_Toc96722289"/>
      <w:bookmarkStart w:id="190" w:name="_Toc102401555"/>
      <w:bookmarkStart w:id="191" w:name="_Toc118988237"/>
      <w:r>
        <w:rPr>
          <w:rFonts w:ascii="仿宋_GB2312" w:eastAsia="仿宋_GB2312"/>
          <w:b w:val="0"/>
          <w:color w:val="000000"/>
        </w:rPr>
        <w:t>2.</w:t>
      </w:r>
      <w:r>
        <w:rPr>
          <w:rFonts w:hint="eastAsia" w:ascii="仿宋_GB2312" w:eastAsia="仿宋_GB2312"/>
          <w:b w:val="0"/>
          <w:color w:val="000000"/>
        </w:rPr>
        <w:t>加强文化市场监管</w:t>
      </w:r>
      <w:bookmarkEnd w:id="189"/>
      <w:bookmarkEnd w:id="190"/>
      <w:bookmarkEnd w:id="191"/>
    </w:p>
    <w:p w14:paraId="64D8A1B1">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健全文化市场监管体系。理顺文化市场综合执法管理体制，加强文化市场综合执法，形成权责明确、监督有效、保障有力的文化市场综合执法管理体制。建设文化市场信用信息数据库，以信息公开为监督约束手段，以警示严重失信主体为基本制度，以协会开展信用评价、分类评定为辅助，构建守信激励、失信惩戒和协同监管机制。加强文化旅游市场日常巡查和案件查处。健全文化市场综合执法自由裁量权。加强文化市场综合执法数据与两法衔接，完善鄂州文化市场综合执法与国家、省级文化市场综合执法平台的对接。完善行政审批平台对接，及时传输数据和资料，实现资源共享。</w:t>
      </w:r>
    </w:p>
    <w:p w14:paraId="7F316AC3">
      <w:pPr>
        <w:pStyle w:val="6"/>
        <w:spacing w:before="0" w:after="0" w:line="560" w:lineRule="exact"/>
        <w:ind w:firstLine="627" w:firstLineChars="196"/>
        <w:rPr>
          <w:rFonts w:ascii="仿宋_GB2312" w:eastAsia="仿宋_GB2312"/>
          <w:b w:val="0"/>
          <w:color w:val="000000"/>
        </w:rPr>
      </w:pPr>
      <w:bookmarkStart w:id="192" w:name="_Toc102401556"/>
      <w:bookmarkStart w:id="193" w:name="_Toc118988238"/>
      <w:bookmarkStart w:id="194" w:name="_Toc96722290"/>
      <w:r>
        <w:rPr>
          <w:rFonts w:ascii="仿宋_GB2312" w:eastAsia="仿宋_GB2312"/>
          <w:b w:val="0"/>
          <w:color w:val="000000"/>
        </w:rPr>
        <w:t>3.</w:t>
      </w:r>
      <w:r>
        <w:rPr>
          <w:rFonts w:hint="eastAsia" w:ascii="仿宋_GB2312" w:eastAsia="仿宋_GB2312"/>
          <w:b w:val="0"/>
          <w:color w:val="000000"/>
        </w:rPr>
        <w:t>创新广电监管手段</w:t>
      </w:r>
      <w:bookmarkEnd w:id="192"/>
      <w:bookmarkEnd w:id="193"/>
      <w:bookmarkEnd w:id="194"/>
    </w:p>
    <w:p w14:paraId="51F29957">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强化监管能力。联合市委宣传部出台《加强广播电视安全播出的实施意见》，明确广播电视安全播出责任体系、监管体系，强化广播电视监管平台建设，提升监管效能。进一步提高对有线电视视频点播、</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OTT7</w:t>
      </w:r>
      <w:r>
        <w:rPr>
          <w:rFonts w:hint="eastAsia" w:ascii="仿宋_GB2312" w:hAnsi="仿宋_GB2312" w:eastAsia="仿宋_GB2312" w:cs="仿宋_GB2312"/>
          <w:color w:val="000000"/>
          <w:kern w:val="0"/>
          <w:sz w:val="32"/>
          <w:szCs w:val="32"/>
        </w:rPr>
        <w:t>和网络短视频等新服务、新业态的内容监管能力，认真开展境外电视传播秩序专项整治、打击“黑广播”“卫星锅”等专项行动，严肃查处违法违规行为。加强过程管理水平。提高智能化检索研判能力，实现跨业务、跨网络、跨平台、跨终端的全方位、全过程、全覆盖、全天候智慧化监管，净化精神文化环境，引导全市营商环境良性发展。</w:t>
      </w:r>
    </w:p>
    <w:p w14:paraId="4CB9ADA3">
      <w:pPr>
        <w:pStyle w:val="6"/>
        <w:spacing w:before="0" w:after="0" w:line="560" w:lineRule="exact"/>
        <w:ind w:firstLine="627" w:firstLineChars="196"/>
        <w:rPr>
          <w:rFonts w:ascii="仿宋_GB2312" w:eastAsia="仿宋_GB2312"/>
          <w:b w:val="0"/>
          <w:color w:val="000000"/>
        </w:rPr>
      </w:pPr>
      <w:bookmarkStart w:id="195" w:name="_Toc96722291"/>
      <w:bookmarkStart w:id="196" w:name="_Toc118988239"/>
      <w:bookmarkStart w:id="197" w:name="_Toc102401557"/>
      <w:r>
        <w:rPr>
          <w:rFonts w:ascii="仿宋_GB2312" w:eastAsia="仿宋_GB2312"/>
          <w:b w:val="0"/>
          <w:color w:val="000000"/>
        </w:rPr>
        <w:t>4.</w:t>
      </w:r>
      <w:r>
        <w:rPr>
          <w:rFonts w:hint="eastAsia" w:ascii="仿宋_GB2312" w:eastAsia="仿宋_GB2312"/>
          <w:b w:val="0"/>
          <w:color w:val="000000"/>
        </w:rPr>
        <w:t>完善体育市场监管</w:t>
      </w:r>
      <w:bookmarkEnd w:id="195"/>
      <w:bookmarkEnd w:id="196"/>
      <w:bookmarkEnd w:id="197"/>
    </w:p>
    <w:p w14:paraId="03AE5734">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发挥专项运动协会的组织作用，鼓励专业体育经营主体参与筹办、组织多种形式的体育活动及体育赛事，利用市场化机制为体育发展注入新动力。配合省体育主管部门，加强体育彩票经营管理。强化体育监管执法队伍执法学习培训工作。加强体育市场监管力度，重点开展高危体育活动的安全监管工作。按照“属地管理，法人负责”的原则，建立和完善高危险性体育项目经营场所安全管理的工作责任制和责任追究制。定期和不定期地对高危险性体育项目经营场所进行巡查，严格管理，依法行政。发现问题，应及时责令高危险性体育项目经营场所限期改正和依法查处。</w:t>
      </w:r>
    </w:p>
    <w:p w14:paraId="58E604A6">
      <w:pPr>
        <w:pStyle w:val="6"/>
        <w:spacing w:before="0" w:after="0" w:line="560" w:lineRule="exact"/>
        <w:ind w:firstLine="627" w:firstLineChars="196"/>
        <w:rPr>
          <w:rFonts w:ascii="仿宋_GB2312" w:eastAsia="仿宋_GB2312"/>
          <w:b w:val="0"/>
          <w:color w:val="000000"/>
        </w:rPr>
      </w:pPr>
      <w:bookmarkStart w:id="198" w:name="_Toc118988240"/>
      <w:bookmarkStart w:id="199" w:name="_Toc96722292"/>
      <w:bookmarkStart w:id="200" w:name="_Toc102401558"/>
      <w:r>
        <w:rPr>
          <w:rFonts w:ascii="仿宋_GB2312" w:eastAsia="仿宋_GB2312"/>
          <w:b w:val="0"/>
          <w:color w:val="000000"/>
        </w:rPr>
        <w:t>5.</w:t>
      </w:r>
      <w:r>
        <w:rPr>
          <w:rFonts w:hint="eastAsia" w:ascii="仿宋_GB2312" w:eastAsia="仿宋_GB2312"/>
          <w:b w:val="0"/>
          <w:color w:val="000000"/>
        </w:rPr>
        <w:t>发挥行业协会作用</w:t>
      </w:r>
      <w:bookmarkEnd w:id="198"/>
      <w:bookmarkEnd w:id="199"/>
      <w:bookmarkEnd w:id="200"/>
    </w:p>
    <w:p w14:paraId="2FB6DEB9">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大实践创新，强化行业协会职能。立足文旅体广行业协会改革转型发展，进一步建立健全行业协会运行机制，完善协会组织体系，健全规章制度等措施，推动其更好地发挥服务、指导、协调和监督作用，强化文旅体广行业协会行业自律和自治职能。加强标准制定，保障行业健康运行。积极做好文旅体广行业协会培育发展工作，鼓励文旅体广机构成立行业组织，履行协会职责，发挥协会功能。</w:t>
      </w:r>
    </w:p>
    <w:p w14:paraId="5D5B3F67">
      <w:pPr>
        <w:pStyle w:val="5"/>
        <w:spacing w:before="0" w:after="0" w:line="560" w:lineRule="exact"/>
        <w:ind w:firstLine="630" w:firstLineChars="196"/>
        <w:rPr>
          <w:rFonts w:ascii="宋体" w:hAnsi="宋体" w:eastAsia="宋体" w:cs="宋体"/>
          <w:bCs w:val="0"/>
          <w:color w:val="000000"/>
        </w:rPr>
      </w:pPr>
      <w:bookmarkStart w:id="201" w:name="_Toc118988241"/>
      <w:bookmarkStart w:id="202" w:name="_Toc96722293"/>
      <w:bookmarkStart w:id="203" w:name="_Toc102401559"/>
      <w:r>
        <w:rPr>
          <w:rFonts w:hint="eastAsia" w:ascii="宋体" w:hAnsi="宋体" w:eastAsia="宋体" w:cs="宋体"/>
          <w:bCs w:val="0"/>
          <w:color w:val="000000"/>
        </w:rPr>
        <w:t>（四）坚持绿色环保，践行生态发展路径</w:t>
      </w:r>
      <w:bookmarkEnd w:id="201"/>
      <w:bookmarkEnd w:id="202"/>
      <w:bookmarkEnd w:id="203"/>
    </w:p>
    <w:p w14:paraId="745C3751">
      <w:pPr>
        <w:pStyle w:val="6"/>
        <w:spacing w:before="0" w:after="0" w:line="560" w:lineRule="exact"/>
        <w:ind w:firstLine="627" w:firstLineChars="196"/>
        <w:rPr>
          <w:rFonts w:ascii="仿宋_GB2312" w:eastAsia="仿宋_GB2312"/>
          <w:b w:val="0"/>
          <w:color w:val="000000"/>
        </w:rPr>
      </w:pPr>
      <w:bookmarkStart w:id="204" w:name="_Toc96722294"/>
      <w:bookmarkStart w:id="205" w:name="_Toc102401560"/>
      <w:bookmarkStart w:id="206" w:name="_Toc118988242"/>
      <w:r>
        <w:rPr>
          <w:rFonts w:ascii="仿宋_GB2312" w:eastAsia="仿宋_GB2312"/>
          <w:b w:val="0"/>
          <w:color w:val="000000"/>
        </w:rPr>
        <w:t>1.</w:t>
      </w:r>
      <w:r>
        <w:rPr>
          <w:rFonts w:hint="eastAsia" w:ascii="仿宋_GB2312" w:eastAsia="仿宋_GB2312"/>
          <w:b w:val="0"/>
          <w:color w:val="000000"/>
        </w:rPr>
        <w:t>全速推动绿色低碳转型</w:t>
      </w:r>
      <w:bookmarkEnd w:id="204"/>
      <w:bookmarkEnd w:id="205"/>
      <w:bookmarkEnd w:id="206"/>
    </w:p>
    <w:p w14:paraId="0F6D8478">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有序实施文旅体广建设“双碳”行动。按照国家“碳达峰”“碳中和”要求，推动文化旅游体育广电业开展节能降碳改造，深化文化旅游体育广电业生态价值工程意识，完善市场化、多元化补偿机制，推进绿色产品和生态服务的资产化。深入贯彻环境评价制度。严格执行文旅体广综合型规划及专项规划的环境影响评价工作。确保项目开工建设前必须完成环境影响评价，做到“无环评、不开工”，从源头上预防环境污染和生态破坏</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促进经济、社会和环境的全面协调及可持续发展。</w:t>
      </w:r>
    </w:p>
    <w:p w14:paraId="416D8E49">
      <w:pPr>
        <w:pStyle w:val="6"/>
        <w:spacing w:before="0" w:after="0" w:line="560" w:lineRule="exact"/>
        <w:ind w:firstLine="627" w:firstLineChars="196"/>
        <w:rPr>
          <w:rFonts w:ascii="仿宋_GB2312" w:eastAsia="仿宋_GB2312"/>
          <w:b w:val="0"/>
          <w:color w:val="000000"/>
        </w:rPr>
      </w:pPr>
      <w:bookmarkStart w:id="207" w:name="_Toc96722295"/>
      <w:bookmarkStart w:id="208" w:name="_Toc118988243"/>
      <w:bookmarkStart w:id="209" w:name="_Toc102401561"/>
      <w:r>
        <w:rPr>
          <w:rFonts w:ascii="仿宋_GB2312" w:eastAsia="仿宋_GB2312"/>
          <w:b w:val="0"/>
          <w:color w:val="000000"/>
        </w:rPr>
        <w:t>2.</w:t>
      </w:r>
      <w:r>
        <w:rPr>
          <w:rFonts w:hint="eastAsia" w:ascii="仿宋_GB2312" w:eastAsia="仿宋_GB2312"/>
          <w:b w:val="0"/>
          <w:color w:val="000000"/>
        </w:rPr>
        <w:t>切实落实各项环保措施</w:t>
      </w:r>
      <w:bookmarkEnd w:id="207"/>
      <w:bookmarkEnd w:id="208"/>
      <w:bookmarkEnd w:id="209"/>
    </w:p>
    <w:p w14:paraId="25814FB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推进全域旅游自然生态治理。建立完善大梁子湖共建、共管、共治保护机制，推进湖泊流域综合治理。旅游景区（点）必须坚持在保护生态环境的前提下开发。在主要旅游线路沿线、路边、水边、山边、村边，开展净化、绿化、美化行动，重点旅游村镇实行改厨、改厕、改客房、整理院落和垃圾污水无害化、生态化处理。切实加强森林资源的保护管理。对国道、省道通向旅游区的道路及景区周围荒山优先植树造林，不断提高森林覆盖率。加强全域旅游人文生态保护。强化对田园风光、传统村落、文物遗产、地方历史文脉的保护，依法保护名胜、名镇、名村的真实性和完整性，严格建设管控，保持传统村镇原有肌理，延续传统空间格局，构筑具有地域特征、民族特色的城乡建筑风貌。</w:t>
      </w:r>
    </w:p>
    <w:p w14:paraId="58E76A8C">
      <w:pPr>
        <w:pStyle w:val="6"/>
        <w:spacing w:before="0" w:after="0" w:line="560" w:lineRule="exact"/>
        <w:ind w:firstLine="627" w:firstLineChars="196"/>
        <w:rPr>
          <w:rFonts w:ascii="仿宋_GB2312" w:eastAsia="仿宋_GB2312"/>
          <w:b w:val="0"/>
          <w:color w:val="000000"/>
        </w:rPr>
      </w:pPr>
      <w:bookmarkStart w:id="210" w:name="_Toc118988244"/>
      <w:bookmarkStart w:id="211" w:name="_Toc102401562"/>
      <w:bookmarkStart w:id="212" w:name="_Toc96722296"/>
      <w:r>
        <w:rPr>
          <w:rFonts w:ascii="仿宋_GB2312" w:eastAsia="仿宋_GB2312"/>
          <w:b w:val="0"/>
          <w:color w:val="000000"/>
        </w:rPr>
        <w:t>3.</w:t>
      </w:r>
      <w:r>
        <w:rPr>
          <w:rFonts w:hint="eastAsia" w:ascii="仿宋_GB2312" w:eastAsia="仿宋_GB2312"/>
          <w:b w:val="0"/>
          <w:color w:val="000000"/>
        </w:rPr>
        <w:t>大力培育环保意识理念</w:t>
      </w:r>
      <w:bookmarkEnd w:id="210"/>
      <w:bookmarkEnd w:id="211"/>
      <w:bookmarkEnd w:id="212"/>
    </w:p>
    <w:p w14:paraId="591AD26C">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倡导绿色旅游消费。降低资源消耗，推广使用节水节能产品和技术，推进节水节能型景区、酒店和旅游村镇建设。大力开展生态环境教育。与教育、环保、林业、水利宣传等部门通力合作，不断提高民众对生态保护的认知，打造生态友好型旅游目的地。</w:t>
      </w:r>
    </w:p>
    <w:p w14:paraId="0FBD89D7">
      <w:pPr>
        <w:pStyle w:val="4"/>
        <w:spacing w:before="0" w:after="0" w:line="560" w:lineRule="exact"/>
        <w:ind w:firstLine="628" w:firstLineChars="196"/>
        <w:rPr>
          <w:rFonts w:ascii="微软雅黑" w:hAnsi="微软雅黑" w:eastAsia="微软雅黑" w:cs="微软雅黑"/>
          <w:bCs w:val="0"/>
          <w:color w:val="000000"/>
          <w:sz w:val="32"/>
          <w:szCs w:val="32"/>
        </w:rPr>
      </w:pPr>
      <w:bookmarkStart w:id="213" w:name="_Toc102401563"/>
      <w:bookmarkStart w:id="214" w:name="_Toc118988245"/>
      <w:r>
        <w:rPr>
          <w:rFonts w:hint="eastAsia" w:ascii="微软雅黑" w:hAnsi="微软雅黑" w:eastAsia="微软雅黑" w:cs="微软雅黑"/>
          <w:bCs w:val="0"/>
          <w:color w:val="000000"/>
          <w:sz w:val="32"/>
          <w:szCs w:val="32"/>
        </w:rPr>
        <w:t>五、保障措施</w:t>
      </w:r>
      <w:bookmarkEnd w:id="152"/>
      <w:bookmarkEnd w:id="213"/>
      <w:bookmarkEnd w:id="214"/>
    </w:p>
    <w:p w14:paraId="1E3AB08C">
      <w:pPr>
        <w:pStyle w:val="5"/>
        <w:spacing w:before="0" w:after="0" w:line="560" w:lineRule="exact"/>
        <w:ind w:firstLine="630" w:firstLineChars="196"/>
        <w:rPr>
          <w:rFonts w:ascii="宋体" w:hAnsi="宋体" w:eastAsia="宋体" w:cs="宋体"/>
          <w:bCs w:val="0"/>
          <w:color w:val="000000"/>
        </w:rPr>
      </w:pPr>
      <w:bookmarkStart w:id="215" w:name="_Toc102401564"/>
      <w:bookmarkStart w:id="216" w:name="_Toc118988246"/>
      <w:bookmarkStart w:id="217" w:name="_Toc96722298"/>
      <w:r>
        <w:rPr>
          <w:rFonts w:hint="eastAsia" w:ascii="宋体" w:hAnsi="宋体" w:eastAsia="宋体" w:cs="宋体"/>
          <w:bCs w:val="0"/>
          <w:color w:val="000000"/>
        </w:rPr>
        <w:t>（一）体制机制保障</w:t>
      </w:r>
      <w:bookmarkEnd w:id="215"/>
      <w:bookmarkEnd w:id="216"/>
      <w:bookmarkEnd w:id="217"/>
    </w:p>
    <w:p w14:paraId="5FBEB0E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深入贯彻党的十九大、二十大精神，推进文化旅游体育广电体制机制改革。健全旅游安全</w:t>
      </w:r>
      <w:r>
        <w:rPr>
          <w:rFonts w:hint="default" w:ascii="仿宋_GB2312" w:hAnsi="仿宋_GB2312" w:eastAsia="仿宋_GB2312" w:cs="仿宋_GB2312"/>
          <w:color w:val="000000"/>
          <w:kern w:val="0"/>
          <w:sz w:val="32"/>
          <w:szCs w:val="32"/>
        </w:rPr>
        <w:t>联席会议制度</w:t>
      </w:r>
      <w:r>
        <w:rPr>
          <w:rFonts w:hint="eastAsia" w:ascii="仿宋_GB2312" w:hAnsi="仿宋_GB2312" w:eastAsia="仿宋_GB2312" w:cs="仿宋_GB2312"/>
          <w:color w:val="000000"/>
          <w:kern w:val="0"/>
          <w:sz w:val="32"/>
          <w:szCs w:val="32"/>
        </w:rPr>
        <w:t>和文物工作</w:t>
      </w:r>
      <w:r>
        <w:rPr>
          <w:rFonts w:hint="default" w:ascii="仿宋_GB2312" w:hAnsi="仿宋_GB2312" w:eastAsia="仿宋_GB2312" w:cs="仿宋_GB2312"/>
          <w:color w:val="000000"/>
          <w:kern w:val="0"/>
          <w:sz w:val="32"/>
          <w:szCs w:val="32"/>
        </w:rPr>
        <w:t>联席会议制度</w:t>
      </w:r>
      <w:r>
        <w:rPr>
          <w:rFonts w:hint="eastAsia" w:ascii="仿宋_GB2312" w:hAnsi="仿宋_GB2312" w:eastAsia="仿宋_GB2312" w:cs="仿宋_GB2312"/>
          <w:color w:val="000000"/>
          <w:kern w:val="0"/>
          <w:sz w:val="32"/>
          <w:szCs w:val="32"/>
        </w:rPr>
        <w:t>，完善部门联动、共同参与的旅游安全和文物工作综合协调机制。加强文化体育广电管理体制改革，进一步转变政府职能，简政放权，放管结合。鼓励社会各界力量参与建设文化设施、组织体育赛事和活动，利用市场化机制为文化体育广电发展注入新动力。健全文化旅游体育广电统计制度和统计体系。健全“覆盖全面、方法科学、数据准确、反应及时、服务高效”的文化旅游体育广电统计工作体系。</w:t>
      </w:r>
    </w:p>
    <w:p w14:paraId="28627447">
      <w:pPr>
        <w:pStyle w:val="5"/>
        <w:spacing w:before="0" w:after="0" w:line="560" w:lineRule="exact"/>
        <w:ind w:firstLine="630" w:firstLineChars="196"/>
        <w:rPr>
          <w:rFonts w:ascii="宋体" w:hAnsi="宋体" w:eastAsia="宋体" w:cs="宋体"/>
          <w:bCs w:val="0"/>
          <w:color w:val="000000"/>
        </w:rPr>
      </w:pPr>
      <w:bookmarkStart w:id="218" w:name="_Toc96722299"/>
      <w:bookmarkStart w:id="219" w:name="_Toc118988247"/>
      <w:bookmarkStart w:id="220" w:name="_Toc102401565"/>
      <w:r>
        <w:rPr>
          <w:rFonts w:hint="eastAsia" w:ascii="宋体" w:hAnsi="宋体" w:eastAsia="宋体" w:cs="宋体"/>
          <w:bCs w:val="0"/>
          <w:color w:val="000000"/>
        </w:rPr>
        <w:t>（二）政策落实保障</w:t>
      </w:r>
      <w:bookmarkEnd w:id="218"/>
      <w:bookmarkEnd w:id="219"/>
      <w:bookmarkEnd w:id="220"/>
    </w:p>
    <w:p w14:paraId="2CEE6942">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落实项目用地政策。争取市政府支持，加强部门协调沟通，有效用活“三区三线”政策。重大项目优先保障用地指标向旅游、文化、广电、体育公共服务设施及重大产业项目倾斜。探索重点文旅项目、</w:t>
      </w:r>
      <w:r>
        <w:rPr>
          <w:rFonts w:ascii="仿宋_GB2312" w:hAnsi="仿宋_GB2312" w:eastAsia="仿宋_GB2312" w:cs="仿宋_GB2312"/>
          <w:color w:val="000000"/>
          <w:kern w:val="0"/>
          <w:sz w:val="32"/>
          <w:szCs w:val="32"/>
        </w:rPr>
        <w:t>A</w:t>
      </w:r>
      <w:r>
        <w:rPr>
          <w:rFonts w:hint="eastAsia" w:ascii="仿宋_GB2312" w:hAnsi="仿宋_GB2312" w:eastAsia="仿宋_GB2312" w:cs="仿宋_GB2312"/>
          <w:color w:val="000000"/>
          <w:kern w:val="0"/>
          <w:sz w:val="32"/>
          <w:szCs w:val="32"/>
        </w:rPr>
        <w:t>级景区、星级酒店等基础型项目用地采用“点状供地”的模式。制定集约节约用地、存量建设用地盘活处置等相关政策，对使用符合国土空间规划的荒山、荒地、荒滩等未利用地建设的项目，优先安排新增建设用地。强化公共文化服务政策保障。全面贯彻落实《中华人民共和国公共文化服务保障法》，将公共文化服务纳入本级国民经济和社会发展规划，按照公益性、基本性、均等性、便利性的要求，加强公共文化设施建设，完善公共文化服务体系，提高公共文化服务效能。强化广电出版政策。全面规范广播电视播出秩序，重点加强广播电视节目、影视剧、网络视听节目、广告播出等规范管理。按照国家和省有关规定，争取市委、市政府适时制定文化旅游发展、航空旅游优惠、体育发展、文物保护、广电发展、行业监管等政策，为十四五文旅体广事业发展提供政策保障。</w:t>
      </w:r>
    </w:p>
    <w:p w14:paraId="5406F52E">
      <w:pPr>
        <w:pStyle w:val="5"/>
        <w:spacing w:before="0" w:after="0" w:line="560" w:lineRule="exact"/>
        <w:ind w:firstLine="630" w:firstLineChars="196"/>
        <w:rPr>
          <w:rFonts w:ascii="宋体" w:hAnsi="宋体" w:eastAsia="宋体" w:cs="宋体"/>
          <w:bCs w:val="0"/>
          <w:color w:val="000000"/>
        </w:rPr>
      </w:pPr>
      <w:bookmarkStart w:id="221" w:name="_Toc118988248"/>
      <w:r>
        <w:rPr>
          <w:rFonts w:hint="eastAsia" w:ascii="宋体" w:hAnsi="宋体" w:eastAsia="宋体" w:cs="宋体"/>
          <w:bCs w:val="0"/>
          <w:color w:val="000000"/>
        </w:rPr>
        <w:t>（三）法治赋能保障</w:t>
      </w:r>
      <w:bookmarkEnd w:id="221"/>
    </w:p>
    <w:p w14:paraId="6096A2CA">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习近平法治思想和党的二十大精神，坚持依法行政、依法执政。加强文旅系统法治建设和普法宣传。优化营商环境，构建法治政府。落实党政主要领导履行法治工作第一责任人责任，切实加强法治能力建设，推进科学民主依法决策。将法治建设贯穿于文旅纵深融合、公共服务提质增效、文化惠民扩容升级、行业治理安全有序等各个环节。依法抓好疫情防控。统筹发展和安全，科学精准抓好常态化疫情防控。坚决维护意识形态安全，推进完善广播电视监管中心和文化市场监管中心两个平台建设，对接国家、省、市相关监管平台，履行监管职责，优化净化市场环境，激发市场主体活力。全面推进文化市场综合执法改革，坚持培育、监管两手抓，创新监管理念和方式，提升文化和旅游市场治理体系和治理能力现代化水平，推动文旅市场规范有序发展。</w:t>
      </w:r>
    </w:p>
    <w:p w14:paraId="6E3A6C3B">
      <w:pPr>
        <w:pStyle w:val="5"/>
        <w:spacing w:before="0" w:after="0" w:line="560" w:lineRule="exact"/>
        <w:ind w:firstLine="630" w:firstLineChars="196"/>
        <w:rPr>
          <w:rFonts w:ascii="宋体" w:hAnsi="宋体" w:eastAsia="宋体" w:cs="宋体"/>
          <w:bCs w:val="0"/>
          <w:color w:val="000000"/>
        </w:rPr>
      </w:pPr>
      <w:bookmarkStart w:id="222" w:name="_Toc118988249"/>
      <w:bookmarkStart w:id="223" w:name="_Toc96722300"/>
      <w:bookmarkStart w:id="224" w:name="_Toc102401566"/>
      <w:r>
        <w:rPr>
          <w:rFonts w:hint="eastAsia" w:ascii="宋体" w:hAnsi="宋体" w:eastAsia="宋体" w:cs="宋体"/>
          <w:bCs w:val="0"/>
          <w:color w:val="000000"/>
        </w:rPr>
        <w:t>（四）资金支持保障</w:t>
      </w:r>
      <w:bookmarkEnd w:id="222"/>
      <w:bookmarkEnd w:id="223"/>
      <w:bookmarkEnd w:id="224"/>
    </w:p>
    <w:p w14:paraId="055D383E">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优化财政扶持政策。各区要充分统筹整合各项财政资金支持重点文化、旅游、体育项目。完善对各类免费、低费提供公共服务的文体场馆的补贴制度。将政府购买文化、旅游、体育、广电的公共服务资金纳入各级财政预算。各级财政要向农村地区公共文化、体育服务倾斜力度。建立公开透明的市场准入标准和运行规则，推动旅游市场向社会资本全面开放。打破行业、地区壁垒，推出优惠政策。吸引外地大型企业、投资者、开发商进入鄂州开发大型文化旅游项目。创新金融支持政策。鼓励金融机构打造适合文化旅游体育广电行业的金融产品和服务。充分利用普惠金融政策、发挥政府性担保机构平台作用，综合运用贷款贴息、风险补偿、奖励或补贴等方式实现财政资金与金融工具联动。</w:t>
      </w:r>
    </w:p>
    <w:p w14:paraId="3EE9F651">
      <w:pPr>
        <w:pStyle w:val="5"/>
        <w:spacing w:before="0" w:after="0" w:line="560" w:lineRule="exact"/>
        <w:ind w:firstLine="630" w:firstLineChars="196"/>
        <w:rPr>
          <w:rFonts w:ascii="宋体" w:hAnsi="宋体" w:eastAsia="宋体" w:cs="宋体"/>
          <w:bCs w:val="0"/>
          <w:color w:val="000000"/>
        </w:rPr>
      </w:pPr>
      <w:bookmarkStart w:id="225" w:name="_Toc96722301"/>
      <w:bookmarkStart w:id="226" w:name="_Toc118988250"/>
      <w:bookmarkStart w:id="227" w:name="_Toc102401567"/>
      <w:r>
        <w:rPr>
          <w:rFonts w:hint="eastAsia" w:ascii="宋体" w:hAnsi="宋体" w:eastAsia="宋体" w:cs="宋体"/>
          <w:bCs w:val="0"/>
          <w:color w:val="000000"/>
        </w:rPr>
        <w:t>（五）人才培养保障</w:t>
      </w:r>
      <w:bookmarkEnd w:id="225"/>
      <w:bookmarkEnd w:id="226"/>
      <w:bookmarkEnd w:id="227"/>
    </w:p>
    <w:p w14:paraId="7689DB26">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完善高端人才保障。完善文化、旅游、体育、广电高端人才引入机制，拓宽引入渠道，结合“</w:t>
      </w:r>
      <w:r>
        <w:rPr>
          <w:rFonts w:ascii="仿宋_GB2312" w:hAnsi="仿宋_GB2312" w:eastAsia="仿宋_GB2312" w:cs="仿宋_GB2312"/>
          <w:color w:val="000000"/>
          <w:kern w:val="0"/>
          <w:sz w:val="32"/>
          <w:szCs w:val="32"/>
        </w:rPr>
        <w:t>121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333</w:t>
      </w:r>
      <w:r>
        <w:rPr>
          <w:rFonts w:hint="eastAsia" w:ascii="仿宋_GB2312" w:hAnsi="仿宋_GB2312" w:eastAsia="仿宋_GB2312" w:cs="仿宋_GB2312"/>
          <w:color w:val="000000"/>
          <w:kern w:val="0"/>
          <w:sz w:val="32"/>
          <w:szCs w:val="32"/>
        </w:rPr>
        <w:t>”等新鄂州人系列计划，落实高端人才引进的奖励和补助政策，吸纳经营型、专家型、科技型高端人才及团队落地鄂州。加强专业人才培养与引入。加强与高校合作，协调省内外的高校联合培养文化、旅游、体育、广电专业人才与技能人才，支持相关单位引入知名教育与培训机构，增强本地专业人才、一线从业人员的培养能力。推行市场化的专业人员聘任制，完善人才引进机制，吸引专业人才落户鄂州。制定人才储备培养计划。做好文化、旅游、体育、广电人才政策设计，开设知名企业人才班、虚拟班，提升鄂州高校学生对鄂州当地的依恋感、认同感，减少人才流失。支持相关单位深化产教融合、校企合作，完善职业教育和培训体系。鼓励鄂州文化单位从基层选拔人才挂职学习，积极培养民间文化传承人。创新运动员培养选拔机制，完善教练员与后备人员长效培训、认证机制。搭建专家智库平台。聘请国内外知名文化、旅游、体育、广电专家学者，组建专家智库，定期邀请专家开展思路研讨和培训讲堂等活动，强化专业人才培训培养。探索组建支撑智库落地运行的事业机构，推进行业企业平台规划建设，为规划实施与文化旅游体育广电发展提供智力支持。</w:t>
      </w:r>
    </w:p>
    <w:p w14:paraId="0AB357D8">
      <w:pPr>
        <w:pStyle w:val="5"/>
        <w:spacing w:before="0" w:after="0" w:line="560" w:lineRule="exact"/>
        <w:ind w:firstLine="630" w:firstLineChars="196"/>
        <w:rPr>
          <w:rFonts w:ascii="宋体" w:hAnsi="宋体" w:eastAsia="宋体" w:cs="宋体"/>
          <w:bCs w:val="0"/>
          <w:color w:val="000000"/>
        </w:rPr>
      </w:pPr>
      <w:bookmarkStart w:id="228" w:name="_Toc96722302"/>
      <w:bookmarkStart w:id="229" w:name="_Toc118988251"/>
      <w:bookmarkStart w:id="230" w:name="_Toc102401568"/>
      <w:r>
        <w:rPr>
          <w:rFonts w:hint="eastAsia" w:ascii="宋体" w:hAnsi="宋体" w:eastAsia="宋体" w:cs="宋体"/>
          <w:bCs w:val="0"/>
          <w:color w:val="000000"/>
        </w:rPr>
        <w:t>（六）安全防范保障</w:t>
      </w:r>
      <w:bookmarkEnd w:id="228"/>
      <w:bookmarkEnd w:id="229"/>
      <w:bookmarkEnd w:id="230"/>
    </w:p>
    <w:p w14:paraId="7682826C">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保障能力建设。建立健全文化旅游体育广电安全风险评估和督查机制，制定完善安全风险清单，有效化解危害安全的突发事件。加大针对旅游文化体育场所的公共卫生安全、消防安全、游览安全、交通安全、高危险性体育项目安全等隐患排查力度，对安全生产工作进行安排部署和落实。建立健全旅游景区安全防范分级管理机制。综合应用人力防范（人防）、实体防范（物防）、电子防范（技防）等手段，落实各项安全管理措施，打造安全旅游目的地。健全网络安全监管。实施网络安全等级保护制度，建设安全传输保障体系，积极防控新技术、新应用、新业态、新服务可能带来的安全风险和隐患，全力守护意识形态安全。</w:t>
      </w:r>
    </w:p>
    <w:p w14:paraId="5D2CE844">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全媒体安全管理体制机制和网络安全系列标准，构建适应新技术发展的立体化、系统化网络安全保障体系，实现智能化安全态势感知、研判分析、风险预警、处置调度，推动从信息海量监管向精准式、靶向性监管过渡。提高网络综合治理能力，形成党委领导、政府管理、企业履责、社会监督、网民自律等多主体参与，经济、法律、技术等多种手段相结合的综合治网格局。加强网络视听节目管理和</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业务监管，完善升级监测系统，重点强化互联网传播视听内容监管，不断增强全市管网治网能力。加强安全播出和网络安全管理，健全安全播出例会制度和指挥调度信息通报机制，深入开展安全播出大检查，加强应急处置演练，做好要害部位、重点岗位、关键环节安全防范，确保重要保障期广播电视安全播出和网络安全。</w:t>
      </w:r>
    </w:p>
    <w:p w14:paraId="28A3CBC8">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加强安全提示信息的发布渠道建设</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深化与气象、卫健、地质、防疫等部门的合作，提升对灾害性天气、传染性疾病的预警防范能力。坚持生态第一、绿色发展前提，建立生态风险预警机制。</w:t>
      </w:r>
    </w:p>
    <w:p w14:paraId="3916E985">
      <w:pPr>
        <w:pStyle w:val="13"/>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000000"/>
          <w:sz w:val="32"/>
          <w:szCs w:val="32"/>
        </w:rPr>
        <w:sectPr>
          <w:footerReference r:id="rId8" w:type="default"/>
          <w:pgSz w:w="11906" w:h="16838"/>
          <w:pgMar w:top="1701" w:right="1800" w:bottom="1440" w:left="1800" w:header="851" w:footer="1134" w:gutter="0"/>
          <w:pgNumType w:start="1"/>
          <w:cols w:space="720" w:num="1"/>
          <w:docGrid w:type="lines" w:linePitch="312" w:charSpace="0"/>
        </w:sectPr>
      </w:pPr>
    </w:p>
    <w:p w14:paraId="396DA2ED">
      <w:pPr>
        <w:pStyle w:val="13"/>
        <w:shd w:val="clear" w:color="auto" w:fill="FFFFFF"/>
        <w:spacing w:before="0" w:beforeAutospacing="0" w:after="0" w:afterAutospacing="0" w:line="360" w:lineRule="auto"/>
        <w:jc w:val="center"/>
        <w:rPr>
          <w:rFonts w:ascii="仿宋" w:hAnsi="仿宋" w:eastAsia="仿宋"/>
          <w:color w:val="000000"/>
          <w:sz w:val="28"/>
          <w:szCs w:val="28"/>
        </w:rPr>
      </w:pPr>
      <w:r>
        <w:rPr>
          <w:rFonts w:hint="eastAsia" w:ascii="仿宋" w:hAnsi="仿宋" w:eastAsia="仿宋"/>
          <w:color w:val="000000"/>
          <w:sz w:val="28"/>
          <w:szCs w:val="28"/>
        </w:rPr>
        <w:t>附图</w:t>
      </w:r>
      <w:r>
        <w:rPr>
          <w:rFonts w:ascii="仿宋" w:hAnsi="仿宋" w:eastAsia="仿宋"/>
          <w:color w:val="000000"/>
          <w:sz w:val="28"/>
          <w:szCs w:val="28"/>
        </w:rPr>
        <w:t>1</w:t>
      </w:r>
      <w:r>
        <w:rPr>
          <w:rFonts w:hint="eastAsia" w:ascii="仿宋" w:hAnsi="仿宋" w:eastAsia="仿宋"/>
          <w:color w:val="000000"/>
          <w:sz w:val="28"/>
          <w:szCs w:val="28"/>
        </w:rPr>
        <w:t>：鄂州市文化旅游体育广电资源分布图</w:t>
      </w:r>
    </w:p>
    <w:p w14:paraId="0B45BBC0">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2" o:spid="_x0000_s1032" o:spt="75" type="#_x0000_t75" style="position:absolute;left:0pt;margin-left:-26.85pt;margin-top:41.25pt;height:520pt;width:468.95pt;mso-wrap-distance-left:9pt;mso-wrap-distance-right:9pt;z-index:-251655168;mso-width-relative:page;mso-height-relative:page;" filled="f" o:preferrelative="t" stroked="t" coordsize="21600,21600" wrapcoords="-35 -31 -35 21600 21635 21600 21635 -31 -35 -31">
            <v:path/>
            <v:fill on="f" focussize="0,0"/>
            <v:stroke joinstyle="miter"/>
            <v:imagedata r:id="rId16" o:title=""/>
            <o:lock v:ext="edit" aspectratio="t"/>
            <w10:wrap type="tight"/>
          </v:shape>
        </w:pict>
      </w:r>
      <w:r>
        <w:rPr>
          <w:rFonts w:ascii="仿宋" w:hAnsi="仿宋" w:eastAsia="仿宋"/>
          <w:color w:val="FF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2</w:t>
      </w:r>
      <w:r>
        <w:rPr>
          <w:rFonts w:hint="eastAsia" w:ascii="仿宋" w:hAnsi="仿宋" w:eastAsia="仿宋"/>
          <w:color w:val="000000"/>
          <w:sz w:val="28"/>
          <w:szCs w:val="28"/>
        </w:rPr>
        <w:t>：鄂州市“十四五”文化旅游体育广电功能布局图</w:t>
      </w:r>
    </w:p>
    <w:p w14:paraId="2813C7D3">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3" o:spid="_x0000_s1033" o:spt="75" type="#_x0000_t75" style="position:absolute;left:0pt;margin-left:-27pt;margin-top:43.7pt;height:520.15pt;width:469.25pt;mso-wrap-distance-left:9pt;mso-wrap-distance-right:9pt;z-index:-251654144;mso-width-relative:page;mso-height-relative:page;" filled="f" o:preferrelative="t" stroked="t" coordsize="21600,21600" wrapcoords="-35 -31 -35 21600 21635 21600 21635 -31 -35 -31">
            <v:path/>
            <v:fill on="f" focussize="0,0"/>
            <v:stroke joinstyle="miter"/>
            <v:imagedata r:id="rId17"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3</w:t>
      </w:r>
      <w:r>
        <w:rPr>
          <w:rFonts w:hint="eastAsia" w:ascii="仿宋" w:hAnsi="仿宋" w:eastAsia="仿宋"/>
          <w:color w:val="000000"/>
          <w:sz w:val="28"/>
          <w:szCs w:val="28"/>
        </w:rPr>
        <w:t>：鄂州市“十四五”文化旅游体育广电特色旅游板块分布图</w:t>
      </w:r>
    </w:p>
    <w:p w14:paraId="1DA78668">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4" o:spid="_x0000_s1034" o:spt="75" type="#_x0000_t75" style="position:absolute;left:0pt;margin-left:-25.1pt;margin-top:43.7pt;height:520.15pt;width:465.5pt;mso-wrap-distance-left:9pt;mso-wrap-distance-right:9pt;z-index:-251653120;mso-width-relative:page;mso-height-relative:page;" filled="f" o:preferrelative="t" stroked="t" coordsize="21600,21600" wrapcoords="-35 -31 -35 21600 21635 21600 21635 -31 -35 -31">
            <v:path/>
            <v:fill on="f" focussize="0,0"/>
            <v:stroke joinstyle="miter"/>
            <v:imagedata r:id="rId18"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4</w:t>
      </w:r>
      <w:r>
        <w:rPr>
          <w:rFonts w:hint="eastAsia" w:ascii="仿宋" w:hAnsi="仿宋" w:eastAsia="仿宋"/>
          <w:color w:val="000000"/>
          <w:sz w:val="28"/>
          <w:szCs w:val="28"/>
        </w:rPr>
        <w:t>：鄂州市“十四五”文化旅游体育广电重点建设项目分布图</w:t>
      </w:r>
    </w:p>
    <w:p w14:paraId="04A68A74">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5" o:spid="_x0000_s1035" o:spt="75" type="#_x0000_t75" style="position:absolute;left:0pt;margin-left:-27.05pt;margin-top:43.85pt;height:520pt;width:469.4pt;mso-wrap-distance-left:9pt;mso-wrap-distance-right:9pt;z-index:-251652096;mso-width-relative:page;mso-height-relative:page;" filled="f" o:preferrelative="t" stroked="t" coordsize="21600,21600" wrapcoords="-35 -31 -35 21600 21635 21600 21635 -31 -35 -31">
            <v:path/>
            <v:fill on="f" focussize="0,0"/>
            <v:stroke joinstyle="miter"/>
            <v:imagedata r:id="rId19" o:title=""/>
            <o:lock v:ext="edit" aspectratio="t"/>
            <w10:wrap type="tight"/>
          </v:shape>
        </w:pict>
      </w:r>
    </w:p>
    <w:p w14:paraId="63DCA7CE">
      <w:pPr>
        <w:pStyle w:val="13"/>
        <w:shd w:val="clear" w:color="auto" w:fill="FFFFFF"/>
        <w:spacing w:before="0" w:beforeAutospacing="0" w:after="0" w:afterAutospacing="0" w:line="360" w:lineRule="auto"/>
        <w:jc w:val="center"/>
        <w:rPr>
          <w:rFonts w:ascii="仿宋" w:hAnsi="仿宋" w:eastAsia="仿宋"/>
          <w:color w:val="000000"/>
          <w:sz w:val="28"/>
          <w:szCs w:val="28"/>
        </w:rPr>
        <w:sectPr>
          <w:footerReference r:id="rId9" w:type="default"/>
          <w:footerReference r:id="rId10" w:type="even"/>
          <w:pgSz w:w="11906" w:h="16838"/>
          <w:pgMar w:top="1440" w:right="1800" w:bottom="1440" w:left="1800" w:header="851" w:footer="1134" w:gutter="0"/>
          <w:pgNumType w:fmt="numberInDash" w:start="1"/>
          <w:cols w:space="720" w:num="1"/>
          <w:docGrid w:type="lines" w:linePitch="312" w:charSpace="0"/>
        </w:sectPr>
      </w:pPr>
    </w:p>
    <w:p w14:paraId="671D63F7">
      <w:pPr>
        <w:jc w:val="center"/>
        <w:rPr>
          <w:rFonts w:ascii="仿宋_GB2312" w:hAnsi="楷体" w:eastAsia="仿宋_GB2312"/>
          <w:color w:val="000000"/>
          <w:sz w:val="24"/>
        </w:rPr>
      </w:pPr>
      <w:r>
        <w:rPr>
          <w:rFonts w:hint="eastAsia" w:ascii="仿宋_GB2312" w:hAnsi="楷体" w:eastAsia="仿宋_GB2312"/>
          <w:color w:val="000000"/>
          <w:sz w:val="24"/>
        </w:rPr>
        <w:t>附表</w:t>
      </w:r>
      <w:r>
        <w:rPr>
          <w:rFonts w:ascii="仿宋_GB2312" w:hAnsi="楷体" w:eastAsia="仿宋_GB2312"/>
          <w:color w:val="000000"/>
          <w:sz w:val="24"/>
        </w:rPr>
        <w:t>1</w:t>
      </w:r>
      <w:r>
        <w:rPr>
          <w:rFonts w:hint="eastAsia" w:ascii="仿宋_GB2312" w:hAnsi="楷体" w:eastAsia="仿宋_GB2312"/>
          <w:color w:val="000000"/>
          <w:sz w:val="24"/>
        </w:rPr>
        <w:t>：鄂州市“十四五”文旅体广产业类建设项目库</w:t>
      </w:r>
    </w:p>
    <w:tbl>
      <w:tblPr>
        <w:tblStyle w:val="14"/>
        <w:tblW w:w="15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288"/>
        <w:gridCol w:w="722"/>
        <w:gridCol w:w="722"/>
        <w:gridCol w:w="1202"/>
        <w:gridCol w:w="7765"/>
        <w:gridCol w:w="1188"/>
        <w:gridCol w:w="1005"/>
        <w:gridCol w:w="1005"/>
      </w:tblGrid>
      <w:tr w14:paraId="5259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5" w:type="dxa"/>
            <w:vAlign w:val="center"/>
          </w:tcPr>
          <w:p w14:paraId="616D922A">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88" w:type="dxa"/>
            <w:vAlign w:val="center"/>
          </w:tcPr>
          <w:p w14:paraId="14E22D3B">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2" w:type="dxa"/>
            <w:vAlign w:val="center"/>
          </w:tcPr>
          <w:p w14:paraId="7CF1EBE4">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2" w:type="dxa"/>
            <w:vAlign w:val="center"/>
          </w:tcPr>
          <w:p w14:paraId="489A2BB4">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02" w:type="dxa"/>
            <w:vAlign w:val="center"/>
          </w:tcPr>
          <w:p w14:paraId="2F267458">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765" w:type="dxa"/>
            <w:vAlign w:val="center"/>
          </w:tcPr>
          <w:p w14:paraId="705E7832">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188" w:type="dxa"/>
            <w:vAlign w:val="center"/>
          </w:tcPr>
          <w:p w14:paraId="1737E68D">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建设起止年限</w:t>
            </w:r>
          </w:p>
        </w:tc>
        <w:tc>
          <w:tcPr>
            <w:tcW w:w="1005" w:type="dxa"/>
            <w:vAlign w:val="center"/>
          </w:tcPr>
          <w:p w14:paraId="2869B6A9">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c>
          <w:tcPr>
            <w:tcW w:w="1005" w:type="dxa"/>
            <w:vAlign w:val="center"/>
          </w:tcPr>
          <w:p w14:paraId="6F2D9F08">
            <w:pPr>
              <w:widowControl/>
              <w:spacing w:line="280" w:lineRule="exact"/>
              <w:jc w:val="center"/>
              <w:rPr>
                <w:rFonts w:ascii="仿宋_GB2312" w:eastAsia="仿宋_GB2312"/>
                <w:bCs/>
                <w:color w:val="000000"/>
                <w:kern w:val="0"/>
                <w:szCs w:val="21"/>
              </w:rPr>
            </w:pPr>
          </w:p>
        </w:tc>
      </w:tr>
      <w:tr w14:paraId="276B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57" w:type="dxa"/>
            <w:gridSpan w:val="8"/>
            <w:vAlign w:val="center"/>
          </w:tcPr>
          <w:p w14:paraId="6BDFB64C">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254.69</w:t>
            </w:r>
            <w:r>
              <w:rPr>
                <w:rFonts w:hint="eastAsia" w:ascii="仿宋_GB2312" w:eastAsia="仿宋_GB2312"/>
                <w:bCs/>
                <w:color w:val="000000"/>
                <w:kern w:val="0"/>
                <w:szCs w:val="21"/>
              </w:rPr>
              <w:t>亿元</w:t>
            </w:r>
          </w:p>
        </w:tc>
        <w:tc>
          <w:tcPr>
            <w:tcW w:w="1005" w:type="dxa"/>
            <w:vAlign w:val="center"/>
          </w:tcPr>
          <w:p w14:paraId="356D9ECC">
            <w:pPr>
              <w:widowControl/>
              <w:spacing w:line="280" w:lineRule="exact"/>
              <w:jc w:val="center"/>
              <w:rPr>
                <w:rFonts w:ascii="仿宋_GB2312" w:eastAsia="仿宋_GB2312"/>
                <w:bCs/>
                <w:color w:val="000000"/>
                <w:kern w:val="0"/>
                <w:szCs w:val="21"/>
              </w:rPr>
            </w:pPr>
          </w:p>
        </w:tc>
      </w:tr>
      <w:tr w14:paraId="1A37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95E6EF3">
            <w:pPr>
              <w:widowControl/>
              <w:spacing w:line="280" w:lineRule="exact"/>
              <w:jc w:val="center"/>
              <w:rPr>
                <w:rFonts w:ascii="仿宋_GB2312" w:eastAsia="仿宋_GB2312"/>
                <w:color w:val="000000"/>
                <w:kern w:val="0"/>
                <w:szCs w:val="21"/>
              </w:rPr>
            </w:pPr>
            <w:bookmarkStart w:id="231" w:name="_Hlk85892180"/>
            <w:bookmarkStart w:id="232" w:name="OLE_LINK3" w:colFirst="7" w:colLast="7"/>
            <w:bookmarkStart w:id="233" w:name="OLE_LINK7" w:colFirst="7" w:colLast="7"/>
            <w:bookmarkStart w:id="234" w:name="OLE_LINK8" w:colFirst="7" w:colLast="7"/>
            <w:r>
              <w:rPr>
                <w:rFonts w:ascii="仿宋_GB2312" w:eastAsia="仿宋_GB2312"/>
                <w:color w:val="000000"/>
                <w:kern w:val="0"/>
                <w:szCs w:val="21"/>
              </w:rPr>
              <w:t>1</w:t>
            </w:r>
          </w:p>
        </w:tc>
        <w:tc>
          <w:tcPr>
            <w:tcW w:w="1288" w:type="dxa"/>
            <w:vAlign w:val="center"/>
          </w:tcPr>
          <w:p w14:paraId="67FE9BB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台湾杏福生态园文旅项目</w:t>
            </w:r>
          </w:p>
        </w:tc>
        <w:tc>
          <w:tcPr>
            <w:tcW w:w="722" w:type="dxa"/>
            <w:vAlign w:val="center"/>
          </w:tcPr>
          <w:p w14:paraId="43D0492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6920E04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续建</w:t>
            </w:r>
          </w:p>
        </w:tc>
        <w:tc>
          <w:tcPr>
            <w:tcW w:w="1202" w:type="dxa"/>
            <w:vAlign w:val="center"/>
          </w:tcPr>
          <w:p w14:paraId="2E9FCF2B">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华容区</w:t>
            </w:r>
          </w:p>
        </w:tc>
        <w:tc>
          <w:tcPr>
            <w:tcW w:w="7765" w:type="dxa"/>
            <w:vAlign w:val="center"/>
          </w:tcPr>
          <w:p w14:paraId="62F6DC7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园区流转土地总面积</w:t>
            </w:r>
            <w:r>
              <w:rPr>
                <w:rFonts w:ascii="仿宋_GB2312" w:eastAsia="仿宋_GB2312"/>
                <w:color w:val="000000"/>
                <w:kern w:val="0"/>
                <w:szCs w:val="21"/>
              </w:rPr>
              <w:t>1.7</w:t>
            </w:r>
            <w:r>
              <w:rPr>
                <w:rFonts w:hint="eastAsia" w:ascii="仿宋_GB2312" w:eastAsia="仿宋_GB2312"/>
                <w:color w:val="000000"/>
                <w:kern w:val="0"/>
                <w:szCs w:val="21"/>
              </w:rPr>
              <w:t>万亩，其中耕地面积</w:t>
            </w:r>
            <w:r>
              <w:rPr>
                <w:rFonts w:ascii="仿宋_GB2312" w:eastAsia="仿宋_GB2312"/>
                <w:color w:val="000000"/>
                <w:kern w:val="0"/>
                <w:szCs w:val="21"/>
              </w:rPr>
              <w:t>1</w:t>
            </w:r>
            <w:r>
              <w:rPr>
                <w:rFonts w:hint="eastAsia" w:ascii="仿宋_GB2312" w:eastAsia="仿宋_GB2312"/>
                <w:color w:val="000000"/>
                <w:kern w:val="0"/>
                <w:szCs w:val="21"/>
              </w:rPr>
              <w:t>万余亩，湖泊面积</w:t>
            </w:r>
            <w:r>
              <w:rPr>
                <w:rFonts w:ascii="仿宋_GB2312" w:eastAsia="仿宋_GB2312"/>
                <w:color w:val="000000"/>
                <w:kern w:val="0"/>
                <w:szCs w:val="21"/>
              </w:rPr>
              <w:t>7000</w:t>
            </w:r>
            <w:r>
              <w:rPr>
                <w:rFonts w:hint="eastAsia" w:ascii="仿宋_GB2312" w:eastAsia="仿宋_GB2312"/>
                <w:color w:val="000000"/>
                <w:kern w:val="0"/>
                <w:szCs w:val="21"/>
              </w:rPr>
              <w:t>亩，申请建设用地</w:t>
            </w:r>
            <w:r>
              <w:rPr>
                <w:rFonts w:ascii="仿宋_GB2312" w:eastAsia="仿宋_GB2312"/>
                <w:color w:val="000000"/>
                <w:kern w:val="0"/>
                <w:szCs w:val="21"/>
              </w:rPr>
              <w:t>489</w:t>
            </w:r>
            <w:r>
              <w:rPr>
                <w:rFonts w:hint="eastAsia" w:ascii="仿宋_GB2312" w:eastAsia="仿宋_GB2312"/>
                <w:color w:val="000000"/>
                <w:kern w:val="0"/>
                <w:szCs w:val="21"/>
              </w:rPr>
              <w:t>亩</w:t>
            </w:r>
            <w:r>
              <w:rPr>
                <w:rFonts w:ascii="仿宋_GB2312" w:eastAsia="仿宋_GB2312"/>
                <w:color w:val="000000"/>
                <w:kern w:val="0"/>
                <w:szCs w:val="21"/>
              </w:rPr>
              <w:t>,</w:t>
            </w:r>
            <w:r>
              <w:rPr>
                <w:rFonts w:hint="eastAsia" w:ascii="仿宋_GB2312" w:eastAsia="仿宋_GB2312"/>
                <w:color w:val="000000"/>
                <w:kern w:val="0"/>
                <w:szCs w:val="21"/>
              </w:rPr>
              <w:t>将致力于改善当地农村面貌，美化改造村</w:t>
            </w:r>
            <w:r>
              <w:rPr>
                <w:rFonts w:hint="eastAsia" w:ascii="仿宋_GB2312" w:eastAsia="楷体"/>
                <w:color w:val="000000"/>
                <w:kern w:val="0"/>
                <w:szCs w:val="21"/>
              </w:rPr>
              <w:t>塆</w:t>
            </w:r>
            <w:r>
              <w:rPr>
                <w:rFonts w:hint="eastAsia" w:ascii="仿宋_GB2312" w:eastAsia="仿宋_GB2312"/>
                <w:color w:val="000000"/>
                <w:kern w:val="0"/>
                <w:szCs w:val="21"/>
              </w:rPr>
              <w:t>，将乡村营造成一道美丽的风景。其中文旅项目有：（</w:t>
            </w:r>
            <w:r>
              <w:rPr>
                <w:rFonts w:ascii="仿宋_GB2312" w:eastAsia="仿宋_GB2312"/>
                <w:color w:val="000000"/>
                <w:kern w:val="0"/>
                <w:szCs w:val="21"/>
              </w:rPr>
              <w:t>1</w:t>
            </w:r>
            <w:r>
              <w:rPr>
                <w:rFonts w:hint="eastAsia" w:ascii="仿宋_GB2312" w:eastAsia="仿宋_GB2312"/>
                <w:color w:val="000000"/>
                <w:kern w:val="0"/>
                <w:szCs w:val="21"/>
              </w:rPr>
              <w:t>）文创一条街，投资</w:t>
            </w:r>
            <w:r>
              <w:rPr>
                <w:rFonts w:ascii="仿宋_GB2312" w:eastAsia="仿宋_GB2312"/>
                <w:color w:val="000000"/>
                <w:kern w:val="0"/>
                <w:szCs w:val="21"/>
              </w:rPr>
              <w:t>2.9</w:t>
            </w:r>
            <w:r>
              <w:rPr>
                <w:rFonts w:hint="eastAsia" w:ascii="仿宋_GB2312" w:eastAsia="仿宋_GB2312"/>
                <w:color w:val="000000"/>
                <w:kern w:val="0"/>
                <w:szCs w:val="21"/>
              </w:rPr>
              <w:t>亿；（</w:t>
            </w:r>
            <w:r>
              <w:rPr>
                <w:rFonts w:ascii="仿宋_GB2312" w:eastAsia="仿宋_GB2312"/>
                <w:color w:val="000000"/>
                <w:kern w:val="0"/>
                <w:szCs w:val="21"/>
              </w:rPr>
              <w:t>2</w:t>
            </w:r>
            <w:r>
              <w:rPr>
                <w:rFonts w:hint="eastAsia" w:ascii="仿宋_GB2312" w:eastAsia="仿宋_GB2312"/>
                <w:color w:val="000000"/>
                <w:kern w:val="0"/>
                <w:szCs w:val="21"/>
              </w:rPr>
              <w:t>）亲水乐园项目；（</w:t>
            </w:r>
            <w:r>
              <w:rPr>
                <w:rFonts w:ascii="仿宋_GB2312" w:eastAsia="仿宋_GB2312"/>
                <w:color w:val="000000"/>
                <w:kern w:val="0"/>
                <w:szCs w:val="21"/>
              </w:rPr>
              <w:t>3</w:t>
            </w:r>
            <w:r>
              <w:rPr>
                <w:rFonts w:hint="eastAsia" w:ascii="仿宋_GB2312" w:eastAsia="仿宋_GB2312"/>
                <w:color w:val="000000"/>
                <w:kern w:val="0"/>
                <w:szCs w:val="21"/>
              </w:rPr>
              <w:t>）创建</w:t>
            </w:r>
            <w:r>
              <w:rPr>
                <w:rFonts w:ascii="仿宋_GB2312" w:eastAsia="仿宋_GB2312"/>
                <w:color w:val="000000"/>
                <w:kern w:val="0"/>
                <w:szCs w:val="21"/>
              </w:rPr>
              <w:t>AAAA</w:t>
            </w:r>
            <w:r>
              <w:rPr>
                <w:rFonts w:hint="eastAsia" w:ascii="仿宋_GB2312" w:eastAsia="仿宋_GB2312"/>
                <w:color w:val="000000"/>
                <w:kern w:val="0"/>
                <w:szCs w:val="21"/>
              </w:rPr>
              <w:t>级景区。</w:t>
            </w:r>
          </w:p>
        </w:tc>
        <w:tc>
          <w:tcPr>
            <w:tcW w:w="1188" w:type="dxa"/>
            <w:vAlign w:val="center"/>
          </w:tcPr>
          <w:p w14:paraId="4DA2765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2018-2024</w:t>
            </w:r>
          </w:p>
        </w:tc>
        <w:tc>
          <w:tcPr>
            <w:tcW w:w="1005" w:type="dxa"/>
            <w:vAlign w:val="center"/>
          </w:tcPr>
          <w:p w14:paraId="11DD0F4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14:paraId="0F2975E6">
            <w:pPr>
              <w:widowControl/>
              <w:spacing w:line="280" w:lineRule="exact"/>
              <w:jc w:val="center"/>
              <w:rPr>
                <w:rFonts w:ascii="仿宋_GB2312" w:eastAsia="仿宋_GB2312"/>
                <w:color w:val="000000"/>
                <w:kern w:val="0"/>
                <w:szCs w:val="21"/>
              </w:rPr>
            </w:pPr>
          </w:p>
        </w:tc>
      </w:tr>
      <w:tr w14:paraId="63E4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4671025D">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w:t>
            </w:r>
          </w:p>
        </w:tc>
        <w:tc>
          <w:tcPr>
            <w:tcW w:w="1288" w:type="dxa"/>
            <w:vAlign w:val="center"/>
          </w:tcPr>
          <w:p w14:paraId="6B0B6E98">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梁子湖全域旅游建设项目</w:t>
            </w:r>
          </w:p>
        </w:tc>
        <w:tc>
          <w:tcPr>
            <w:tcW w:w="722" w:type="dxa"/>
            <w:vAlign w:val="center"/>
          </w:tcPr>
          <w:p w14:paraId="1244F16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政府投资</w:t>
            </w:r>
          </w:p>
          <w:p w14:paraId="5FE9AF6F">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2F5B15E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66C5BC9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7113879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实现日接纳游客</w:t>
            </w:r>
            <w:r>
              <w:rPr>
                <w:rFonts w:ascii="仿宋_GB2312" w:eastAsia="仿宋_GB2312"/>
                <w:color w:val="000000"/>
                <w:kern w:val="0"/>
                <w:szCs w:val="21"/>
              </w:rPr>
              <w:t>20000</w:t>
            </w:r>
            <w:r>
              <w:rPr>
                <w:rFonts w:hint="eastAsia" w:ascii="仿宋_GB2312" w:eastAsia="仿宋_GB2312"/>
                <w:color w:val="000000"/>
                <w:kern w:val="0"/>
                <w:szCs w:val="21"/>
              </w:rPr>
              <w:t>人标准。建设内容：（</w:t>
            </w:r>
            <w:r>
              <w:rPr>
                <w:rFonts w:ascii="仿宋_GB2312" w:eastAsia="仿宋_GB2312"/>
                <w:color w:val="000000"/>
                <w:kern w:val="0"/>
                <w:szCs w:val="21"/>
              </w:rPr>
              <w:t>1</w:t>
            </w:r>
            <w:r>
              <w:rPr>
                <w:rFonts w:hint="eastAsia" w:ascii="仿宋_GB2312" w:eastAsia="仿宋_GB2312"/>
                <w:color w:val="000000"/>
                <w:kern w:val="0"/>
                <w:szCs w:val="21"/>
              </w:rPr>
              <w:t>）梁子岛景区复牌；梁子岛游客服务中心及配套工程；长岭码头综合停车场建设项目；（</w:t>
            </w:r>
            <w:r>
              <w:rPr>
                <w:rFonts w:ascii="仿宋_GB2312" w:eastAsia="仿宋_GB2312"/>
                <w:color w:val="000000"/>
                <w:kern w:val="0"/>
                <w:szCs w:val="21"/>
              </w:rPr>
              <w:t>2</w:t>
            </w:r>
            <w:r>
              <w:rPr>
                <w:rFonts w:hint="eastAsia" w:ascii="仿宋_GB2312" w:eastAsia="仿宋_GB2312"/>
                <w:color w:val="000000"/>
                <w:kern w:val="0"/>
                <w:szCs w:val="21"/>
              </w:rPr>
              <w:t>）建设东沟镇余湾村、茅圻村、伯岩村、刘河村四个乡村旅游点旅游服务中心及旅游驿站；（</w:t>
            </w:r>
            <w:r>
              <w:rPr>
                <w:rFonts w:ascii="仿宋_GB2312" w:eastAsia="仿宋_GB2312"/>
                <w:color w:val="000000"/>
                <w:kern w:val="0"/>
                <w:szCs w:val="21"/>
              </w:rPr>
              <w:t>3</w:t>
            </w:r>
            <w:r>
              <w:rPr>
                <w:rFonts w:hint="eastAsia" w:ascii="仿宋_GB2312" w:eastAsia="仿宋_GB2312"/>
                <w:color w:val="000000"/>
                <w:kern w:val="0"/>
                <w:szCs w:val="21"/>
              </w:rPr>
              <w:t>）建设涂家垴镇官田、野湖咀游客服务中心及旅游驿站；（</w:t>
            </w:r>
            <w:r>
              <w:rPr>
                <w:rFonts w:ascii="仿宋_GB2312" w:eastAsia="仿宋_GB2312"/>
                <w:color w:val="000000"/>
                <w:kern w:val="0"/>
                <w:szCs w:val="21"/>
              </w:rPr>
              <w:t>4</w:t>
            </w:r>
            <w:r>
              <w:rPr>
                <w:rFonts w:hint="eastAsia" w:ascii="仿宋_GB2312" w:eastAsia="仿宋_GB2312"/>
                <w:color w:val="000000"/>
                <w:kern w:val="0"/>
                <w:szCs w:val="21"/>
              </w:rPr>
              <w:t>）旅游驿站；（</w:t>
            </w:r>
            <w:r>
              <w:rPr>
                <w:rFonts w:ascii="仿宋_GB2312" w:eastAsia="仿宋_GB2312"/>
                <w:color w:val="000000"/>
                <w:kern w:val="0"/>
                <w:szCs w:val="21"/>
              </w:rPr>
              <w:t>5</w:t>
            </w:r>
            <w:r>
              <w:rPr>
                <w:rFonts w:hint="eastAsia" w:ascii="仿宋_GB2312" w:eastAsia="仿宋_GB2312"/>
                <w:color w:val="000000"/>
                <w:kern w:val="0"/>
                <w:szCs w:val="21"/>
              </w:rPr>
              <w:t>）沼山</w:t>
            </w:r>
            <w:r>
              <w:rPr>
                <w:rFonts w:ascii="仿宋_GB2312" w:eastAsia="仿宋_GB2312"/>
                <w:color w:val="000000"/>
                <w:kern w:val="0"/>
                <w:szCs w:val="21"/>
              </w:rPr>
              <w:t>-</w:t>
            </w:r>
            <w:r>
              <w:rPr>
                <w:rFonts w:hint="eastAsia" w:ascii="仿宋_GB2312" w:eastAsia="仿宋_GB2312"/>
                <w:color w:val="000000"/>
                <w:kern w:val="0"/>
                <w:szCs w:val="21"/>
              </w:rPr>
              <w:t>太和户外徒步旅游道路（含太和镇谢培</w:t>
            </w:r>
            <w:r>
              <w:rPr>
                <w:rFonts w:ascii="仿宋_GB2312" w:eastAsia="仿宋_GB2312"/>
                <w:color w:val="000000"/>
                <w:kern w:val="0"/>
                <w:szCs w:val="21"/>
              </w:rPr>
              <w:t>-</w:t>
            </w:r>
            <w:r>
              <w:rPr>
                <w:rFonts w:hint="eastAsia" w:ascii="仿宋_GB2312" w:eastAsia="仿宋_GB2312"/>
                <w:color w:val="000000"/>
                <w:kern w:val="0"/>
                <w:szCs w:val="21"/>
              </w:rPr>
              <w:t>陈太红色旅游道路）</w:t>
            </w:r>
            <w:r>
              <w:rPr>
                <w:rFonts w:ascii="仿宋_GB2312" w:eastAsia="仿宋_GB2312"/>
                <w:color w:val="000000"/>
                <w:kern w:val="0"/>
                <w:szCs w:val="21"/>
              </w:rPr>
              <w:t>32</w:t>
            </w:r>
            <w:r>
              <w:rPr>
                <w:rFonts w:hint="eastAsia" w:ascii="仿宋_GB2312" w:eastAsia="仿宋_GB2312"/>
                <w:color w:val="000000"/>
                <w:kern w:val="0"/>
                <w:szCs w:val="21"/>
              </w:rPr>
              <w:t>公里旅游徒步道路建设（红色旅游道路）及旅游引导标识系统及旅游驿站建设；（</w:t>
            </w:r>
            <w:r>
              <w:rPr>
                <w:rFonts w:ascii="仿宋_GB2312" w:eastAsia="仿宋_GB2312"/>
                <w:color w:val="000000"/>
                <w:kern w:val="0"/>
                <w:szCs w:val="21"/>
              </w:rPr>
              <w:t>6</w:t>
            </w:r>
            <w:r>
              <w:rPr>
                <w:rFonts w:hint="eastAsia" w:ascii="仿宋_GB2312" w:eastAsia="仿宋_GB2312"/>
                <w:color w:val="000000"/>
                <w:kern w:val="0"/>
                <w:szCs w:val="21"/>
              </w:rPr>
              <w:t>）太和镇陈太村游客服务中心及旅游驿站。</w:t>
            </w:r>
          </w:p>
        </w:tc>
        <w:tc>
          <w:tcPr>
            <w:tcW w:w="1188" w:type="dxa"/>
            <w:vAlign w:val="center"/>
          </w:tcPr>
          <w:p w14:paraId="3AC094C7">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262F321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w:t>
            </w:r>
          </w:p>
        </w:tc>
        <w:tc>
          <w:tcPr>
            <w:tcW w:w="1005" w:type="dxa"/>
            <w:vAlign w:val="center"/>
          </w:tcPr>
          <w:p w14:paraId="16D90137">
            <w:pPr>
              <w:widowControl/>
              <w:spacing w:line="280" w:lineRule="exact"/>
              <w:jc w:val="center"/>
              <w:rPr>
                <w:rFonts w:ascii="仿宋_GB2312" w:eastAsia="仿宋_GB2312"/>
                <w:color w:val="000000"/>
                <w:kern w:val="0"/>
                <w:szCs w:val="21"/>
              </w:rPr>
            </w:pPr>
          </w:p>
        </w:tc>
      </w:tr>
      <w:tr w14:paraId="205A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701D8368">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w:t>
            </w:r>
          </w:p>
        </w:tc>
        <w:tc>
          <w:tcPr>
            <w:tcW w:w="1288" w:type="dxa"/>
            <w:vAlign w:val="center"/>
          </w:tcPr>
          <w:p w14:paraId="3CE380D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梁子湖区野湖咀文化综合体</w:t>
            </w:r>
          </w:p>
        </w:tc>
        <w:tc>
          <w:tcPr>
            <w:tcW w:w="722" w:type="dxa"/>
            <w:vAlign w:val="center"/>
          </w:tcPr>
          <w:p w14:paraId="42CE40B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01C4EE8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1A43A85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025337C1">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项目规划用地面积</w:t>
            </w:r>
            <w:r>
              <w:rPr>
                <w:rFonts w:ascii="仿宋_GB2312" w:eastAsia="仿宋_GB2312"/>
                <w:color w:val="000000"/>
                <w:kern w:val="0"/>
                <w:szCs w:val="21"/>
              </w:rPr>
              <w:t>1100</w:t>
            </w:r>
            <w:r>
              <w:rPr>
                <w:rFonts w:hint="eastAsia" w:ascii="仿宋_GB2312" w:eastAsia="仿宋_GB2312"/>
                <w:color w:val="000000"/>
                <w:kern w:val="0"/>
                <w:szCs w:val="21"/>
              </w:rPr>
              <w:t>亩，总建筑面积</w:t>
            </w:r>
            <w:r>
              <w:rPr>
                <w:rFonts w:ascii="仿宋_GB2312" w:eastAsia="仿宋_GB2312"/>
                <w:color w:val="000000"/>
                <w:kern w:val="0"/>
                <w:szCs w:val="21"/>
              </w:rPr>
              <w:t>16534.57</w:t>
            </w:r>
            <w:r>
              <w:rPr>
                <w:rFonts w:hint="eastAsia" w:ascii="仿宋_GB2312" w:eastAsia="仿宋_GB2312"/>
                <w:color w:val="000000"/>
                <w:kern w:val="0"/>
                <w:szCs w:val="21"/>
              </w:rPr>
              <w:t>平方米，总投资</w:t>
            </w:r>
            <w:r>
              <w:rPr>
                <w:rFonts w:ascii="仿宋_GB2312" w:eastAsia="仿宋_GB2312"/>
                <w:color w:val="000000"/>
                <w:kern w:val="0"/>
                <w:szCs w:val="21"/>
              </w:rPr>
              <w:t>1</w:t>
            </w:r>
            <w:r>
              <w:rPr>
                <w:rFonts w:hint="eastAsia" w:ascii="仿宋_GB2312" w:eastAsia="仿宋_GB2312"/>
                <w:color w:val="000000"/>
                <w:kern w:val="0"/>
                <w:szCs w:val="21"/>
              </w:rPr>
              <w:t>亿元，主要建设内容包括艺术中心、接待中心、艺术工作坊、休闲渡口、生态湿地、主题村落、实景娱乐体验区及基础配套等</w:t>
            </w:r>
          </w:p>
        </w:tc>
        <w:tc>
          <w:tcPr>
            <w:tcW w:w="1188" w:type="dxa"/>
            <w:vAlign w:val="center"/>
          </w:tcPr>
          <w:p w14:paraId="7B58B584">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14:paraId="7DE87791">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14:paraId="34A9DA94">
            <w:pPr>
              <w:widowControl/>
              <w:spacing w:line="280" w:lineRule="exact"/>
              <w:jc w:val="center"/>
              <w:rPr>
                <w:rFonts w:ascii="仿宋_GB2312" w:eastAsia="仿宋_GB2312"/>
                <w:color w:val="000000"/>
                <w:kern w:val="0"/>
                <w:szCs w:val="21"/>
              </w:rPr>
            </w:pPr>
          </w:p>
        </w:tc>
      </w:tr>
      <w:tr w14:paraId="7F07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336BAC19">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4</w:t>
            </w:r>
          </w:p>
        </w:tc>
        <w:tc>
          <w:tcPr>
            <w:tcW w:w="1288" w:type="dxa"/>
            <w:vAlign w:val="center"/>
          </w:tcPr>
          <w:p w14:paraId="75CC9B4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王子生态园</w:t>
            </w:r>
          </w:p>
        </w:tc>
        <w:tc>
          <w:tcPr>
            <w:tcW w:w="722" w:type="dxa"/>
            <w:vAlign w:val="center"/>
          </w:tcPr>
          <w:p w14:paraId="387E5D6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4D7F846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11E54F2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120AAF62">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占地</w:t>
            </w:r>
            <w:r>
              <w:rPr>
                <w:rFonts w:ascii="仿宋_GB2312" w:eastAsia="仿宋_GB2312"/>
                <w:color w:val="000000"/>
                <w:kern w:val="0"/>
                <w:szCs w:val="21"/>
              </w:rPr>
              <w:t>1200</w:t>
            </w:r>
            <w:r>
              <w:rPr>
                <w:rFonts w:hint="eastAsia" w:ascii="仿宋_GB2312" w:eastAsia="仿宋_GB2312"/>
                <w:color w:val="000000"/>
                <w:kern w:val="0"/>
                <w:szCs w:val="21"/>
              </w:rPr>
              <w:t>亩，项目分三期建设，主要建设内容有配套服务设施、道路、果园、游客中心、景观景点等。</w:t>
            </w:r>
          </w:p>
        </w:tc>
        <w:tc>
          <w:tcPr>
            <w:tcW w:w="1188" w:type="dxa"/>
            <w:vAlign w:val="center"/>
          </w:tcPr>
          <w:p w14:paraId="7189BF0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14:paraId="4AA09D3C">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14:paraId="496064ED">
            <w:pPr>
              <w:widowControl/>
              <w:spacing w:line="280" w:lineRule="exact"/>
              <w:jc w:val="center"/>
              <w:rPr>
                <w:rFonts w:ascii="仿宋_GB2312" w:eastAsia="仿宋_GB2312"/>
                <w:color w:val="000000"/>
                <w:kern w:val="0"/>
                <w:szCs w:val="21"/>
              </w:rPr>
            </w:pPr>
          </w:p>
        </w:tc>
      </w:tr>
      <w:tr w14:paraId="3CB5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63EBA624">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w:t>
            </w:r>
          </w:p>
        </w:tc>
        <w:tc>
          <w:tcPr>
            <w:tcW w:w="1288" w:type="dxa"/>
            <w:vAlign w:val="center"/>
          </w:tcPr>
          <w:p w14:paraId="73EC843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东梁子湖乡村振兴文旅综合体</w:t>
            </w:r>
          </w:p>
        </w:tc>
        <w:tc>
          <w:tcPr>
            <w:tcW w:w="722" w:type="dxa"/>
            <w:vAlign w:val="center"/>
          </w:tcPr>
          <w:p w14:paraId="5D08B15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14:paraId="531F7B4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45685A3B">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7D5F98D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流转</w:t>
            </w:r>
            <w:r>
              <w:rPr>
                <w:rFonts w:ascii="仿宋_GB2312" w:eastAsia="仿宋_GB2312"/>
                <w:color w:val="000000"/>
                <w:kern w:val="0"/>
                <w:szCs w:val="21"/>
              </w:rPr>
              <w:t>200</w:t>
            </w:r>
            <w:r>
              <w:rPr>
                <w:rFonts w:hint="eastAsia" w:ascii="仿宋_GB2312" w:eastAsia="仿宋_GB2312"/>
                <w:color w:val="000000"/>
                <w:kern w:val="0"/>
                <w:szCs w:val="21"/>
              </w:rPr>
              <w:t>户民居进行改造，修建</w:t>
            </w:r>
            <w:r>
              <w:rPr>
                <w:rFonts w:ascii="仿宋_GB2312" w:eastAsia="仿宋_GB2312"/>
                <w:color w:val="000000"/>
                <w:kern w:val="0"/>
                <w:szCs w:val="21"/>
              </w:rPr>
              <w:t>20</w:t>
            </w:r>
            <w:r>
              <w:rPr>
                <w:rFonts w:hint="eastAsia" w:ascii="仿宋_GB2312" w:eastAsia="仿宋_GB2312"/>
                <w:color w:val="000000"/>
                <w:kern w:val="0"/>
                <w:szCs w:val="21"/>
              </w:rPr>
              <w:t>公里环湖绿道，新建花卉蔬菜大数据中心、旅游码头、集散中心及农旅基地等。</w:t>
            </w:r>
          </w:p>
        </w:tc>
        <w:tc>
          <w:tcPr>
            <w:tcW w:w="1188" w:type="dxa"/>
            <w:vAlign w:val="center"/>
          </w:tcPr>
          <w:p w14:paraId="7C16D732">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6A449CD0">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67000</w:t>
            </w:r>
          </w:p>
        </w:tc>
        <w:tc>
          <w:tcPr>
            <w:tcW w:w="1005" w:type="dxa"/>
            <w:vAlign w:val="center"/>
          </w:tcPr>
          <w:p w14:paraId="217AFF75">
            <w:pPr>
              <w:widowControl/>
              <w:spacing w:line="280" w:lineRule="exact"/>
              <w:jc w:val="center"/>
              <w:rPr>
                <w:rFonts w:ascii="仿宋_GB2312" w:eastAsia="仿宋_GB2312"/>
                <w:color w:val="000000"/>
                <w:kern w:val="0"/>
                <w:szCs w:val="21"/>
              </w:rPr>
            </w:pPr>
          </w:p>
        </w:tc>
      </w:tr>
      <w:tr w14:paraId="03FD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CACB11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w:t>
            </w:r>
          </w:p>
        </w:tc>
        <w:tc>
          <w:tcPr>
            <w:tcW w:w="1288" w:type="dxa"/>
            <w:vAlign w:val="center"/>
          </w:tcPr>
          <w:p w14:paraId="1C62B1D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珞格生态综合体</w:t>
            </w:r>
          </w:p>
        </w:tc>
        <w:tc>
          <w:tcPr>
            <w:tcW w:w="722" w:type="dxa"/>
            <w:vAlign w:val="center"/>
          </w:tcPr>
          <w:p w14:paraId="3FA07909">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14:paraId="1A7CB0E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145A9B3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2AE942DD">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项目建设内容包括：园区路面刷黑、综合体接待中心、办公大楼及大棚建设、景观景点打造、停车场、民宿及配套设施。</w:t>
            </w:r>
          </w:p>
        </w:tc>
        <w:tc>
          <w:tcPr>
            <w:tcW w:w="1188" w:type="dxa"/>
            <w:vAlign w:val="center"/>
          </w:tcPr>
          <w:p w14:paraId="53F6B85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41737E54">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14:paraId="2E9A116D">
            <w:pPr>
              <w:widowControl/>
              <w:spacing w:line="280" w:lineRule="exact"/>
              <w:jc w:val="center"/>
              <w:rPr>
                <w:rFonts w:ascii="仿宋_GB2312" w:eastAsia="仿宋_GB2312"/>
                <w:color w:val="000000"/>
                <w:kern w:val="0"/>
                <w:szCs w:val="21"/>
              </w:rPr>
            </w:pPr>
          </w:p>
        </w:tc>
      </w:tr>
      <w:tr w14:paraId="45B0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784A6F4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w:t>
            </w:r>
          </w:p>
        </w:tc>
        <w:tc>
          <w:tcPr>
            <w:tcW w:w="1288" w:type="dxa"/>
            <w:vAlign w:val="center"/>
          </w:tcPr>
          <w:p w14:paraId="379EE8B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五星级酒店项目</w:t>
            </w:r>
          </w:p>
        </w:tc>
        <w:tc>
          <w:tcPr>
            <w:tcW w:w="722" w:type="dxa"/>
            <w:vAlign w:val="center"/>
          </w:tcPr>
          <w:p w14:paraId="575C8F3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3C61F04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5055B09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临空经</w:t>
            </w:r>
          </w:p>
          <w:p w14:paraId="3EA8B7CB">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济区</w:t>
            </w:r>
          </w:p>
        </w:tc>
        <w:tc>
          <w:tcPr>
            <w:tcW w:w="7765" w:type="dxa"/>
            <w:vAlign w:val="center"/>
          </w:tcPr>
          <w:p w14:paraId="53BE3A3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项目占地</w:t>
            </w:r>
            <w:r>
              <w:rPr>
                <w:rFonts w:ascii="仿宋_GB2312" w:eastAsia="仿宋_GB2312"/>
                <w:color w:val="000000"/>
                <w:kern w:val="0"/>
                <w:szCs w:val="21"/>
              </w:rPr>
              <w:t>26779.92</w:t>
            </w:r>
            <w:r>
              <w:rPr>
                <w:rFonts w:hint="eastAsia" w:ascii="仿宋_GB2312" w:eastAsia="仿宋_GB2312"/>
                <w:color w:val="000000"/>
                <w:kern w:val="0"/>
                <w:szCs w:val="21"/>
              </w:rPr>
              <w:t>平方米，总建筑面积</w:t>
            </w:r>
            <w:r>
              <w:rPr>
                <w:rFonts w:ascii="仿宋_GB2312" w:eastAsia="仿宋_GB2312"/>
                <w:color w:val="000000"/>
                <w:kern w:val="0"/>
                <w:szCs w:val="21"/>
              </w:rPr>
              <w:t>55051</w:t>
            </w:r>
            <w:r>
              <w:rPr>
                <w:rFonts w:hint="eastAsia" w:ascii="仿宋_GB2312" w:eastAsia="仿宋_GB2312"/>
                <w:color w:val="000000"/>
                <w:kern w:val="0"/>
                <w:szCs w:val="21"/>
              </w:rPr>
              <w:t>平方米。客房</w:t>
            </w:r>
            <w:r>
              <w:rPr>
                <w:rFonts w:ascii="仿宋_GB2312" w:eastAsia="仿宋_GB2312"/>
                <w:color w:val="000000"/>
                <w:kern w:val="0"/>
                <w:szCs w:val="21"/>
              </w:rPr>
              <w:t>341</w:t>
            </w:r>
            <w:r>
              <w:rPr>
                <w:rFonts w:hint="eastAsia" w:ascii="仿宋_GB2312" w:eastAsia="仿宋_GB2312"/>
                <w:color w:val="000000"/>
                <w:kern w:val="0"/>
                <w:szCs w:val="21"/>
              </w:rPr>
              <w:t>间，</w:t>
            </w:r>
            <w:r>
              <w:rPr>
                <w:rFonts w:ascii="仿宋_GB2312" w:eastAsia="仿宋_GB2312"/>
                <w:color w:val="000000"/>
                <w:kern w:val="0"/>
                <w:szCs w:val="21"/>
              </w:rPr>
              <w:t>3</w:t>
            </w:r>
            <w:r>
              <w:rPr>
                <w:rFonts w:hint="eastAsia" w:ascii="仿宋_GB2312" w:eastAsia="仿宋_GB2312"/>
                <w:color w:val="000000"/>
                <w:kern w:val="0"/>
                <w:szCs w:val="21"/>
              </w:rPr>
              <w:t>个餐厅，酒廊、大堂吧、会议室及空中健身房、无边游泳池等。</w:t>
            </w:r>
          </w:p>
        </w:tc>
        <w:tc>
          <w:tcPr>
            <w:tcW w:w="1188" w:type="dxa"/>
            <w:vAlign w:val="center"/>
          </w:tcPr>
          <w:p w14:paraId="2917BAD4">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22681A0C">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14:paraId="031F9980">
            <w:pPr>
              <w:widowControl/>
              <w:spacing w:line="280" w:lineRule="exact"/>
              <w:jc w:val="center"/>
              <w:rPr>
                <w:rFonts w:ascii="仿宋_GB2312" w:eastAsia="仿宋_GB2312"/>
                <w:color w:val="000000"/>
                <w:kern w:val="0"/>
                <w:szCs w:val="21"/>
              </w:rPr>
            </w:pPr>
          </w:p>
        </w:tc>
      </w:tr>
      <w:tr w14:paraId="1435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7D21E78">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8</w:t>
            </w:r>
          </w:p>
        </w:tc>
        <w:tc>
          <w:tcPr>
            <w:tcW w:w="1288" w:type="dxa"/>
            <w:vAlign w:val="center"/>
          </w:tcPr>
          <w:p w14:paraId="6672D75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前海湖渔猎主题农业公园项目</w:t>
            </w:r>
          </w:p>
        </w:tc>
        <w:tc>
          <w:tcPr>
            <w:tcW w:w="722" w:type="dxa"/>
            <w:vAlign w:val="center"/>
          </w:tcPr>
          <w:p w14:paraId="669E89B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640EFBB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202651E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77172AE4">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总投资规模约</w:t>
            </w:r>
            <w:r>
              <w:rPr>
                <w:rFonts w:ascii="仿宋_GB2312" w:eastAsia="仿宋_GB2312"/>
                <w:color w:val="000000"/>
                <w:kern w:val="0"/>
                <w:szCs w:val="21"/>
              </w:rPr>
              <w:t>15</w:t>
            </w:r>
            <w:r>
              <w:rPr>
                <w:rFonts w:hint="eastAsia" w:ascii="仿宋_GB2312" w:eastAsia="仿宋_GB2312"/>
                <w:color w:val="000000"/>
                <w:kern w:val="0"/>
                <w:szCs w:val="21"/>
              </w:rPr>
              <w:t>亿元。项目以自然景观为依托，生态保护为前提，与梁子湖（岛）全域旅游开发规划相衔接，开发集生态旅游、农业产品、商务休闲、文化体验，开发建设与生态保护平衡的农旅融合国家级渔猎主题农业公园。</w:t>
            </w:r>
          </w:p>
        </w:tc>
        <w:tc>
          <w:tcPr>
            <w:tcW w:w="1188" w:type="dxa"/>
            <w:vAlign w:val="center"/>
          </w:tcPr>
          <w:p w14:paraId="6154171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39F75A1D">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14:paraId="21D8B3D9">
            <w:pPr>
              <w:widowControl/>
              <w:spacing w:line="280" w:lineRule="exact"/>
              <w:jc w:val="center"/>
              <w:rPr>
                <w:rFonts w:ascii="仿宋_GB2312" w:eastAsia="仿宋_GB2312"/>
                <w:color w:val="000000"/>
                <w:kern w:val="0"/>
                <w:szCs w:val="21"/>
              </w:rPr>
            </w:pPr>
          </w:p>
        </w:tc>
      </w:tr>
      <w:tr w14:paraId="5FC2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1C70FA2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9</w:t>
            </w:r>
          </w:p>
        </w:tc>
        <w:tc>
          <w:tcPr>
            <w:tcW w:w="1288" w:type="dxa"/>
            <w:vAlign w:val="center"/>
          </w:tcPr>
          <w:p w14:paraId="7D20B64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梁子湖旅游民宿项目</w:t>
            </w:r>
          </w:p>
        </w:tc>
        <w:tc>
          <w:tcPr>
            <w:tcW w:w="722" w:type="dxa"/>
            <w:vAlign w:val="center"/>
          </w:tcPr>
          <w:p w14:paraId="5969C8D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17A3F73E">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6851E15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14:paraId="640416F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推进梁子岛黄鹰嘴民宿项目、刘斌高家咀民宿项目、余湾民宿项目建设，依托优质生态旅游资源，着力包装邱山民宿项目、梁子湖南岸民宿项目。</w:t>
            </w:r>
          </w:p>
        </w:tc>
        <w:tc>
          <w:tcPr>
            <w:tcW w:w="1188" w:type="dxa"/>
            <w:vAlign w:val="center"/>
          </w:tcPr>
          <w:p w14:paraId="20E3D68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50713F2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14:paraId="5D2A111A">
            <w:pPr>
              <w:widowControl/>
              <w:spacing w:line="280" w:lineRule="exact"/>
              <w:jc w:val="center"/>
              <w:rPr>
                <w:rFonts w:ascii="仿宋_GB2312" w:eastAsia="仿宋_GB2312"/>
                <w:color w:val="000000"/>
                <w:kern w:val="0"/>
                <w:szCs w:val="21"/>
              </w:rPr>
            </w:pPr>
          </w:p>
        </w:tc>
      </w:tr>
      <w:tr w14:paraId="0AC0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1B076D3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w:t>
            </w:r>
          </w:p>
        </w:tc>
        <w:tc>
          <w:tcPr>
            <w:tcW w:w="1288" w:type="dxa"/>
            <w:vAlign w:val="center"/>
          </w:tcPr>
          <w:p w14:paraId="2CF78F2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“吴都·乔街”</w:t>
            </w:r>
            <w:r>
              <w:rPr>
                <w:rFonts w:ascii="仿宋_GB2312" w:eastAsia="仿宋_GB2312"/>
                <w:color w:val="000000"/>
                <w:kern w:val="0"/>
                <w:szCs w:val="21"/>
              </w:rPr>
              <w:t>4A</w:t>
            </w:r>
            <w:r>
              <w:rPr>
                <w:rFonts w:hint="eastAsia" w:ascii="仿宋_GB2312" w:eastAsia="仿宋_GB2312"/>
                <w:color w:val="000000"/>
                <w:kern w:val="0"/>
                <w:szCs w:val="21"/>
              </w:rPr>
              <w:t>级文化旅游综合景区</w:t>
            </w:r>
          </w:p>
        </w:tc>
        <w:tc>
          <w:tcPr>
            <w:tcW w:w="722" w:type="dxa"/>
            <w:vAlign w:val="center"/>
          </w:tcPr>
          <w:p w14:paraId="39BA71A7">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14:paraId="19FCAE52">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025BD82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1655C4B9">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项目选址于吴都大道以南、鄂州大道以东、汇贤路以西、天龙路以北，占地面积为</w:t>
            </w:r>
            <w:r>
              <w:rPr>
                <w:rFonts w:ascii="仿宋_GB2312" w:eastAsia="仿宋_GB2312"/>
                <w:color w:val="000000"/>
                <w:kern w:val="0"/>
                <w:szCs w:val="21"/>
              </w:rPr>
              <w:t>120</w:t>
            </w:r>
            <w:r>
              <w:rPr>
                <w:rFonts w:hint="eastAsia" w:ascii="仿宋_GB2312" w:eastAsia="仿宋_GB2312"/>
                <w:color w:val="000000"/>
                <w:kern w:val="0"/>
                <w:szCs w:val="21"/>
              </w:rPr>
              <w:t>亩。项目主要建设内容有：游客集散中心、七子巷小吃街、主题民宿及精品酒店住宿群、十坊百店民俗文化体验场馆群、九佬十八匠特色风俗体验区、网红主题酒吧街、特色风味主题餐饮作坊群、演艺演出体验区等。打造集“文旅融合、农旅融合、休闲体验度假、文化观光养生、商住综合配套”为一体的复合型文化旅游综合体。</w:t>
            </w:r>
          </w:p>
        </w:tc>
        <w:tc>
          <w:tcPr>
            <w:tcW w:w="1188" w:type="dxa"/>
            <w:vAlign w:val="center"/>
          </w:tcPr>
          <w:p w14:paraId="77AC2BB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0DA99F63">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76700</w:t>
            </w:r>
          </w:p>
        </w:tc>
        <w:tc>
          <w:tcPr>
            <w:tcW w:w="1005" w:type="dxa"/>
            <w:vAlign w:val="center"/>
          </w:tcPr>
          <w:p w14:paraId="6915D2ED">
            <w:pPr>
              <w:widowControl/>
              <w:spacing w:line="280" w:lineRule="exact"/>
              <w:jc w:val="center"/>
              <w:rPr>
                <w:rFonts w:ascii="仿宋_GB2312" w:eastAsia="仿宋_GB2312"/>
                <w:color w:val="000000"/>
                <w:kern w:val="0"/>
                <w:szCs w:val="21"/>
              </w:rPr>
            </w:pPr>
          </w:p>
        </w:tc>
      </w:tr>
      <w:tr w14:paraId="4E7A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0EE2AB4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11</w:t>
            </w:r>
          </w:p>
        </w:tc>
        <w:tc>
          <w:tcPr>
            <w:tcW w:w="1288" w:type="dxa"/>
            <w:vAlign w:val="center"/>
          </w:tcPr>
          <w:p w14:paraId="036FA30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四峰山文体度假项目</w:t>
            </w:r>
          </w:p>
        </w:tc>
        <w:tc>
          <w:tcPr>
            <w:tcW w:w="722" w:type="dxa"/>
            <w:vAlign w:val="center"/>
          </w:tcPr>
          <w:p w14:paraId="1D7ECAC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4365D4C1">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54C3BD58">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3BAC112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地点：鄂城区汀祖镇。围绕文化体验旅游、生态休闲旅游、探险旅游、科考旅游和观光农业旅游打造针对多种人群的旅游产品，以此建设园林景区、风情街区、宾馆美食区、现代购物区、休闲养老区、各种农业观光区、农家体验区等，同时配套客房区、综合公共区、停车场。</w:t>
            </w:r>
          </w:p>
        </w:tc>
        <w:tc>
          <w:tcPr>
            <w:tcW w:w="1188" w:type="dxa"/>
            <w:vAlign w:val="center"/>
          </w:tcPr>
          <w:p w14:paraId="6CA12E11">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14:paraId="44F25AB5">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200000</w:t>
            </w:r>
          </w:p>
        </w:tc>
        <w:tc>
          <w:tcPr>
            <w:tcW w:w="1005" w:type="dxa"/>
            <w:vAlign w:val="center"/>
          </w:tcPr>
          <w:p w14:paraId="0FB982C5">
            <w:pPr>
              <w:widowControl/>
              <w:spacing w:line="280" w:lineRule="exact"/>
              <w:jc w:val="center"/>
              <w:rPr>
                <w:rFonts w:ascii="仿宋_GB2312" w:eastAsia="仿宋_GB2312"/>
                <w:color w:val="000000"/>
                <w:kern w:val="0"/>
                <w:szCs w:val="21"/>
              </w:rPr>
            </w:pPr>
          </w:p>
        </w:tc>
      </w:tr>
      <w:tr w14:paraId="43A5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6C0A9030">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12</w:t>
            </w:r>
          </w:p>
        </w:tc>
        <w:tc>
          <w:tcPr>
            <w:tcW w:w="1288" w:type="dxa"/>
            <w:vAlign w:val="center"/>
          </w:tcPr>
          <w:p w14:paraId="3CE1C33C">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葛店动漫文化小镇</w:t>
            </w:r>
          </w:p>
        </w:tc>
        <w:tc>
          <w:tcPr>
            <w:tcW w:w="722" w:type="dxa"/>
            <w:vAlign w:val="center"/>
          </w:tcPr>
          <w:p w14:paraId="3D5F4676">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0C037DA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2C43641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葛店开发区</w:t>
            </w:r>
          </w:p>
        </w:tc>
        <w:tc>
          <w:tcPr>
            <w:tcW w:w="7765" w:type="dxa"/>
            <w:vAlign w:val="center"/>
          </w:tcPr>
          <w:p w14:paraId="5DE2F6CF">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项目总投资</w:t>
            </w:r>
            <w:r>
              <w:rPr>
                <w:rFonts w:ascii="仿宋_GB2312" w:eastAsia="仿宋_GB2312"/>
                <w:color w:val="000000"/>
                <w:kern w:val="0"/>
                <w:szCs w:val="21"/>
              </w:rPr>
              <w:t>70</w:t>
            </w:r>
            <w:r>
              <w:rPr>
                <w:rFonts w:hint="eastAsia" w:ascii="仿宋_GB2312" w:eastAsia="仿宋_GB2312"/>
                <w:color w:val="000000"/>
                <w:kern w:val="0"/>
                <w:szCs w:val="21"/>
              </w:rPr>
              <w:t>亿元，用地范围为丁桥港以南、武城湖以北、东湖路以东，总建设用地面积</w:t>
            </w:r>
            <w:r>
              <w:rPr>
                <w:rFonts w:ascii="仿宋_GB2312" w:eastAsia="仿宋_GB2312"/>
                <w:color w:val="000000"/>
                <w:kern w:val="0"/>
                <w:szCs w:val="21"/>
              </w:rPr>
              <w:t>1200</w:t>
            </w:r>
            <w:r>
              <w:rPr>
                <w:rFonts w:hint="eastAsia" w:ascii="仿宋_GB2312" w:eastAsia="仿宋_GB2312"/>
                <w:color w:val="000000"/>
                <w:kern w:val="0"/>
                <w:szCs w:val="21"/>
              </w:rPr>
              <w:t>亩，总建筑面积</w:t>
            </w:r>
            <w:r>
              <w:rPr>
                <w:rFonts w:ascii="仿宋_GB2312" w:eastAsia="仿宋_GB2312"/>
                <w:color w:val="000000"/>
                <w:kern w:val="0"/>
                <w:szCs w:val="21"/>
              </w:rPr>
              <w:t>41.6</w:t>
            </w:r>
            <w:r>
              <w:rPr>
                <w:rFonts w:hint="eastAsia" w:ascii="仿宋_GB2312" w:eastAsia="仿宋_GB2312"/>
                <w:color w:val="000000"/>
                <w:kern w:val="0"/>
                <w:szCs w:val="21"/>
              </w:rPr>
              <w:t>万平方米。项目设计功能包括动漫产业区、动漫娱乐区、生活配套区三大功能板块。</w:t>
            </w:r>
          </w:p>
        </w:tc>
        <w:tc>
          <w:tcPr>
            <w:tcW w:w="1188" w:type="dxa"/>
            <w:vAlign w:val="center"/>
          </w:tcPr>
          <w:p w14:paraId="3F3C79E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14:paraId="7DC1DB58">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700000</w:t>
            </w:r>
          </w:p>
        </w:tc>
        <w:tc>
          <w:tcPr>
            <w:tcW w:w="1005" w:type="dxa"/>
            <w:vAlign w:val="center"/>
          </w:tcPr>
          <w:p w14:paraId="289231CF">
            <w:pPr>
              <w:widowControl/>
              <w:spacing w:line="280" w:lineRule="exact"/>
              <w:jc w:val="center"/>
              <w:rPr>
                <w:rFonts w:ascii="仿宋_GB2312" w:eastAsia="仿宋_GB2312"/>
                <w:color w:val="000000"/>
                <w:kern w:val="0"/>
                <w:szCs w:val="21"/>
              </w:rPr>
            </w:pPr>
          </w:p>
        </w:tc>
      </w:tr>
      <w:tr w14:paraId="2EC6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0B293B5B">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w:t>
            </w:r>
          </w:p>
        </w:tc>
        <w:tc>
          <w:tcPr>
            <w:tcW w:w="1288" w:type="dxa"/>
            <w:vAlign w:val="center"/>
          </w:tcPr>
          <w:p w14:paraId="1923DD63">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岳石洪村文旅综合体项目</w:t>
            </w:r>
          </w:p>
        </w:tc>
        <w:tc>
          <w:tcPr>
            <w:tcW w:w="722" w:type="dxa"/>
            <w:vAlign w:val="center"/>
          </w:tcPr>
          <w:p w14:paraId="2D08B8E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14:paraId="579EB88E">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33922A6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4C3249AF">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主要围绕文化体验旅游、生态休闲旅游、探险旅游、科考旅游和观光农业旅游，建设园林景区、风情街区、宾馆美食区、现代购物区、休闲养老区、各种农业观光区、农家体验区等，同时配套客房区、综合公共区、停车场。将汀祖镇南部山地旅游带建设成为武汉城市圈东部郊野公园、华中地区乡村旅游目的地、全国城乡融合发展示范区。</w:t>
            </w:r>
          </w:p>
        </w:tc>
        <w:tc>
          <w:tcPr>
            <w:tcW w:w="1188" w:type="dxa"/>
            <w:vAlign w:val="center"/>
          </w:tcPr>
          <w:p w14:paraId="151CADE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6CD3CA8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13200</w:t>
            </w:r>
          </w:p>
        </w:tc>
        <w:tc>
          <w:tcPr>
            <w:tcW w:w="1005" w:type="dxa"/>
            <w:vAlign w:val="center"/>
          </w:tcPr>
          <w:p w14:paraId="674A17B9">
            <w:pPr>
              <w:widowControl/>
              <w:spacing w:line="280" w:lineRule="exact"/>
              <w:jc w:val="center"/>
              <w:rPr>
                <w:rFonts w:ascii="仿宋_GB2312" w:eastAsia="仿宋_GB2312"/>
                <w:color w:val="000000"/>
                <w:kern w:val="0"/>
                <w:szCs w:val="21"/>
              </w:rPr>
            </w:pPr>
          </w:p>
        </w:tc>
      </w:tr>
      <w:tr w14:paraId="4F45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4CDA006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14</w:t>
            </w:r>
          </w:p>
        </w:tc>
        <w:tc>
          <w:tcPr>
            <w:tcW w:w="1288" w:type="dxa"/>
            <w:vAlign w:val="center"/>
          </w:tcPr>
          <w:p w14:paraId="6448CB20">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长港河（古运河）综合开发</w:t>
            </w:r>
          </w:p>
        </w:tc>
        <w:tc>
          <w:tcPr>
            <w:tcW w:w="722" w:type="dxa"/>
            <w:vAlign w:val="center"/>
          </w:tcPr>
          <w:p w14:paraId="7C8D062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14:paraId="7A96A72A">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14:paraId="53AF59D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3C4F524F">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九十里长港，是国内现存最原生态的运河。拟综合打造水上运动（龙舟）；岸线运动（全程马拉松）及红色旅游</w:t>
            </w:r>
            <w:r>
              <w:rPr>
                <w:rFonts w:ascii="仿宋_GB2312" w:eastAsia="仿宋_GB2312"/>
                <w:color w:val="000000"/>
                <w:kern w:val="0"/>
                <w:szCs w:val="21"/>
              </w:rPr>
              <w:t>4A</w:t>
            </w:r>
            <w:r>
              <w:rPr>
                <w:rFonts w:hint="eastAsia" w:ascii="仿宋_GB2312" w:eastAsia="仿宋_GB2312"/>
                <w:color w:val="000000"/>
                <w:kern w:val="0"/>
                <w:szCs w:val="21"/>
              </w:rPr>
              <w:t>级旅游景区。</w:t>
            </w:r>
          </w:p>
        </w:tc>
        <w:tc>
          <w:tcPr>
            <w:tcW w:w="1188" w:type="dxa"/>
            <w:vAlign w:val="center"/>
          </w:tcPr>
          <w:p w14:paraId="12457422">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2023-2025</w:t>
            </w:r>
          </w:p>
        </w:tc>
        <w:tc>
          <w:tcPr>
            <w:tcW w:w="1005" w:type="dxa"/>
            <w:vAlign w:val="center"/>
          </w:tcPr>
          <w:p w14:paraId="6C129D8A">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500000</w:t>
            </w:r>
          </w:p>
        </w:tc>
        <w:tc>
          <w:tcPr>
            <w:tcW w:w="1005" w:type="dxa"/>
            <w:vAlign w:val="center"/>
          </w:tcPr>
          <w:p w14:paraId="240613FE">
            <w:pPr>
              <w:widowControl/>
              <w:spacing w:line="280" w:lineRule="exact"/>
              <w:jc w:val="center"/>
              <w:rPr>
                <w:rFonts w:ascii="仿宋_GB2312" w:eastAsia="仿宋_GB2312"/>
                <w:color w:val="000000"/>
                <w:kern w:val="0"/>
                <w:szCs w:val="21"/>
              </w:rPr>
            </w:pPr>
          </w:p>
        </w:tc>
      </w:tr>
      <w:tr w14:paraId="5590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2D83DCBF">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w:t>
            </w:r>
          </w:p>
        </w:tc>
        <w:tc>
          <w:tcPr>
            <w:tcW w:w="1288" w:type="dxa"/>
            <w:vAlign w:val="center"/>
          </w:tcPr>
          <w:p w14:paraId="2E2739F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鄂州园博园</w:t>
            </w:r>
          </w:p>
        </w:tc>
        <w:tc>
          <w:tcPr>
            <w:tcW w:w="722" w:type="dxa"/>
            <w:vAlign w:val="center"/>
          </w:tcPr>
          <w:p w14:paraId="327C73B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14:paraId="153AF43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394A31D4">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2833E527">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项目选址在葛山风景区南部，占地</w:t>
            </w:r>
            <w:r>
              <w:rPr>
                <w:rFonts w:ascii="仿宋_GB2312" w:eastAsia="仿宋_GB2312"/>
                <w:color w:val="000000"/>
                <w:kern w:val="0"/>
                <w:szCs w:val="21"/>
              </w:rPr>
              <w:t>165</w:t>
            </w:r>
            <w:r>
              <w:rPr>
                <w:rFonts w:hint="eastAsia" w:ascii="仿宋_GB2312" w:eastAsia="仿宋_GB2312"/>
                <w:color w:val="000000"/>
                <w:kern w:val="0"/>
                <w:szCs w:val="21"/>
              </w:rPr>
              <w:t>公顷，主要建设内容有</w:t>
            </w:r>
            <w:r>
              <w:rPr>
                <w:rFonts w:ascii="仿宋_GB2312" w:eastAsia="仿宋_GB2312"/>
                <w:color w:val="000000"/>
                <w:kern w:val="0"/>
                <w:szCs w:val="21"/>
              </w:rPr>
              <w:t>3</w:t>
            </w:r>
            <w:r>
              <w:rPr>
                <w:rFonts w:hint="eastAsia" w:ascii="仿宋_GB2312" w:eastAsia="仿宋_GB2312"/>
                <w:color w:val="000000"/>
                <w:kern w:val="0"/>
                <w:szCs w:val="21"/>
              </w:rPr>
              <w:t>个展区、</w:t>
            </w:r>
            <w:r>
              <w:rPr>
                <w:rFonts w:ascii="仿宋_GB2312" w:eastAsia="仿宋_GB2312"/>
                <w:color w:val="000000"/>
                <w:kern w:val="0"/>
                <w:szCs w:val="21"/>
              </w:rPr>
              <w:t>5</w:t>
            </w:r>
            <w:r>
              <w:rPr>
                <w:rFonts w:hint="eastAsia" w:ascii="仿宋_GB2312" w:eastAsia="仿宋_GB2312"/>
                <w:color w:val="000000"/>
                <w:kern w:val="0"/>
                <w:szCs w:val="21"/>
              </w:rPr>
              <w:t>个展馆，</w:t>
            </w:r>
            <w:r>
              <w:rPr>
                <w:rFonts w:ascii="仿宋_GB2312" w:eastAsia="仿宋_GB2312"/>
                <w:color w:val="000000"/>
                <w:kern w:val="0"/>
                <w:szCs w:val="21"/>
              </w:rPr>
              <w:t>52</w:t>
            </w:r>
            <w:r>
              <w:rPr>
                <w:rFonts w:hint="eastAsia" w:ascii="仿宋_GB2312" w:eastAsia="仿宋_GB2312"/>
                <w:color w:val="000000"/>
                <w:kern w:val="0"/>
                <w:szCs w:val="21"/>
              </w:rPr>
              <w:t>个展园，配套建设园博绿道、游客中心、特色街区、文创特色小镇等。</w:t>
            </w:r>
          </w:p>
        </w:tc>
        <w:tc>
          <w:tcPr>
            <w:tcW w:w="1188" w:type="dxa"/>
            <w:vAlign w:val="center"/>
          </w:tcPr>
          <w:p w14:paraId="0311FB4E">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2023-2024</w:t>
            </w:r>
          </w:p>
        </w:tc>
        <w:tc>
          <w:tcPr>
            <w:tcW w:w="1005" w:type="dxa"/>
            <w:vAlign w:val="center"/>
          </w:tcPr>
          <w:p w14:paraId="0E27F2A4">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360000</w:t>
            </w:r>
          </w:p>
        </w:tc>
        <w:tc>
          <w:tcPr>
            <w:tcW w:w="1005" w:type="dxa"/>
            <w:vAlign w:val="center"/>
          </w:tcPr>
          <w:p w14:paraId="444633B0">
            <w:pPr>
              <w:widowControl/>
              <w:spacing w:line="280" w:lineRule="exact"/>
              <w:jc w:val="center"/>
              <w:rPr>
                <w:rFonts w:ascii="仿宋_GB2312" w:eastAsia="仿宋_GB2312"/>
                <w:color w:val="000000"/>
                <w:kern w:val="0"/>
                <w:szCs w:val="21"/>
              </w:rPr>
            </w:pPr>
          </w:p>
        </w:tc>
      </w:tr>
      <w:tr w14:paraId="10F0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14:paraId="5C9F7FC6">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16</w:t>
            </w:r>
          </w:p>
        </w:tc>
        <w:tc>
          <w:tcPr>
            <w:tcW w:w="1288" w:type="dxa"/>
            <w:vAlign w:val="center"/>
          </w:tcPr>
          <w:p w14:paraId="5632F08D">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峒山城乡融合发展项目</w:t>
            </w:r>
          </w:p>
        </w:tc>
        <w:tc>
          <w:tcPr>
            <w:tcW w:w="722" w:type="dxa"/>
            <w:vAlign w:val="center"/>
          </w:tcPr>
          <w:p w14:paraId="0507F4E5">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14:paraId="4E7312EE">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14:paraId="001BBBAF">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14:paraId="00F2308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峒山村新建队村湾风貌提升（国道沿线</w:t>
            </w:r>
            <w:r>
              <w:rPr>
                <w:rFonts w:ascii="仿宋_GB2312" w:eastAsia="仿宋_GB2312"/>
                <w:color w:val="000000"/>
                <w:kern w:val="0"/>
                <w:szCs w:val="21"/>
              </w:rPr>
              <w:t>160</w:t>
            </w:r>
            <w:r>
              <w:rPr>
                <w:rFonts w:hint="eastAsia" w:ascii="仿宋_GB2312" w:eastAsia="仿宋_GB2312"/>
                <w:color w:val="000000"/>
                <w:kern w:val="0"/>
                <w:szCs w:val="21"/>
              </w:rPr>
              <w:t>户立面改造</w:t>
            </w:r>
            <w:r>
              <w:rPr>
                <w:rFonts w:ascii="仿宋_GB2312" w:eastAsia="仿宋_GB2312"/>
                <w:color w:val="000000"/>
                <w:kern w:val="0"/>
                <w:szCs w:val="21"/>
              </w:rPr>
              <w:t>);</w:t>
            </w:r>
            <w:r>
              <w:rPr>
                <w:rFonts w:hint="eastAsia" w:ascii="仿宋_GB2312" w:eastAsia="仿宋_GB2312"/>
                <w:color w:val="000000"/>
                <w:kern w:val="0"/>
                <w:szCs w:val="21"/>
              </w:rPr>
              <w:t>村部后树林公园提档升级，用地面积约</w:t>
            </w:r>
            <w:r>
              <w:rPr>
                <w:rFonts w:ascii="仿宋_GB2312" w:eastAsia="仿宋_GB2312"/>
                <w:color w:val="000000"/>
                <w:kern w:val="0"/>
                <w:szCs w:val="21"/>
              </w:rPr>
              <w:t>9014</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荷香园，用地面积约</w:t>
            </w:r>
            <w:r>
              <w:rPr>
                <w:rFonts w:ascii="仿宋_GB2312" w:eastAsia="仿宋_GB2312"/>
                <w:color w:val="000000"/>
                <w:kern w:val="0"/>
                <w:szCs w:val="21"/>
              </w:rPr>
              <w:t>46591</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十里水杉林，用地面积约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乡愁园（樱花园），用地面积约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武昌鱼展示中心，用地面积约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红色步道，用地面积约</w:t>
            </w:r>
            <w:r>
              <w:rPr>
                <w:rFonts w:ascii="仿宋_GB2312" w:eastAsia="仿宋_GB2312"/>
                <w:color w:val="000000"/>
                <w:kern w:val="0"/>
                <w:szCs w:val="21"/>
              </w:rPr>
              <w:t>108400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金融</w:t>
            </w:r>
            <w:r>
              <w:rPr>
                <w:rFonts w:ascii="仿宋_GB2312" w:eastAsia="仿宋_GB2312"/>
                <w:color w:val="000000"/>
                <w:kern w:val="0"/>
                <w:szCs w:val="21"/>
              </w:rPr>
              <w:t>+</w:t>
            </w:r>
            <w:r>
              <w:rPr>
                <w:rFonts w:hint="eastAsia" w:ascii="仿宋_GB2312" w:eastAsia="仿宋_GB2312"/>
                <w:color w:val="000000"/>
                <w:kern w:val="0"/>
                <w:szCs w:val="21"/>
              </w:rPr>
              <w:t>生活服务</w:t>
            </w:r>
            <w:r>
              <w:rPr>
                <w:rFonts w:ascii="仿宋_GB2312" w:eastAsia="仿宋_GB2312"/>
                <w:color w:val="000000"/>
                <w:kern w:val="0"/>
                <w:szCs w:val="21"/>
              </w:rPr>
              <w:t>+</w:t>
            </w:r>
            <w:r>
              <w:rPr>
                <w:rFonts w:hint="eastAsia" w:ascii="仿宋_GB2312" w:eastAsia="仿宋_GB2312"/>
                <w:color w:val="000000"/>
                <w:kern w:val="0"/>
                <w:szCs w:val="21"/>
              </w:rPr>
              <w:t>文化驿站，用地面积约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峒山古村落提档升级，建筑面积</w:t>
            </w:r>
            <w:r>
              <w:rPr>
                <w:rFonts w:ascii="仿宋_GB2312" w:eastAsia="仿宋_GB2312"/>
                <w:color w:val="000000"/>
                <w:kern w:val="0"/>
                <w:szCs w:val="21"/>
              </w:rPr>
              <w:t>70242.19</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新建队电网台区改造，主要为沿线改造提升，面积约为</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乡愁博物馆，建筑面积</w:t>
            </w:r>
            <w:r>
              <w:rPr>
                <w:rFonts w:ascii="仿宋_GB2312" w:eastAsia="仿宋_GB2312"/>
                <w:color w:val="000000"/>
                <w:kern w:val="0"/>
                <w:szCs w:val="21"/>
              </w:rPr>
              <w:t>2500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华农基地田间博物馆（户外体验</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300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乡村振兴学院</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1000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培训住宿一产权，建设</w:t>
            </w:r>
            <w:r>
              <w:rPr>
                <w:rFonts w:ascii="仿宋_GB2312" w:eastAsia="仿宋_GB2312"/>
                <w:color w:val="000000"/>
                <w:kern w:val="0"/>
                <w:szCs w:val="21"/>
              </w:rPr>
              <w:t>15</w:t>
            </w:r>
            <w:r>
              <w:rPr>
                <w:rFonts w:hint="eastAsia" w:ascii="仿宋_GB2312" w:eastAsia="仿宋_GB2312"/>
                <w:color w:val="000000"/>
                <w:kern w:val="0"/>
                <w:szCs w:val="21"/>
              </w:rPr>
              <w:t>栋，峒山宿装修，建设</w:t>
            </w:r>
            <w:r>
              <w:rPr>
                <w:rFonts w:ascii="仿宋_GB2312" w:eastAsia="仿宋_GB2312"/>
                <w:color w:val="000000"/>
                <w:kern w:val="0"/>
                <w:szCs w:val="21"/>
              </w:rPr>
              <w:t>15</w:t>
            </w:r>
            <w:r>
              <w:rPr>
                <w:rFonts w:hint="eastAsia" w:ascii="仿宋_GB2312" w:eastAsia="仿宋_GB2312"/>
                <w:color w:val="000000"/>
                <w:kern w:val="0"/>
                <w:szCs w:val="21"/>
              </w:rPr>
              <w:t>套、峒山宿（民宿）装修，建设</w:t>
            </w:r>
            <w:r>
              <w:rPr>
                <w:rFonts w:ascii="仿宋_GB2312" w:eastAsia="仿宋_GB2312"/>
                <w:color w:val="000000"/>
                <w:kern w:val="0"/>
                <w:szCs w:val="21"/>
              </w:rPr>
              <w:t>8</w:t>
            </w:r>
            <w:r>
              <w:rPr>
                <w:rFonts w:hint="eastAsia" w:ascii="仿宋_GB2312" w:eastAsia="仿宋_GB2312"/>
                <w:color w:val="000000"/>
                <w:kern w:val="0"/>
                <w:szCs w:val="21"/>
              </w:rPr>
              <w:t>套</w:t>
            </w:r>
            <w:r>
              <w:rPr>
                <w:rFonts w:ascii="仿宋_GB2312" w:eastAsia="仿宋_GB2312"/>
                <w:color w:val="000000"/>
                <w:kern w:val="0"/>
                <w:szCs w:val="21"/>
              </w:rPr>
              <w:t>;</w:t>
            </w:r>
            <w:r>
              <w:rPr>
                <w:rFonts w:hint="eastAsia" w:ascii="仿宋_GB2312" w:eastAsia="仿宋_GB2312"/>
                <w:color w:val="000000"/>
                <w:kern w:val="0"/>
                <w:szCs w:val="21"/>
              </w:rPr>
              <w:t>四线港整治与提升，建设长度</w:t>
            </w:r>
            <w:r>
              <w:rPr>
                <w:rFonts w:ascii="仿宋_GB2312" w:eastAsia="仿宋_GB2312"/>
                <w:color w:val="000000"/>
                <w:kern w:val="0"/>
                <w:szCs w:val="21"/>
              </w:rPr>
              <w:t>2000.00</w:t>
            </w:r>
            <w:r>
              <w:rPr>
                <w:rFonts w:hint="eastAsia" w:ascii="仿宋_GB2312" w:eastAsia="仿宋_GB2312"/>
                <w:color w:val="000000"/>
                <w:kern w:val="0"/>
                <w:szCs w:val="21"/>
              </w:rPr>
              <w:t>米</w:t>
            </w:r>
            <w:r>
              <w:rPr>
                <w:rFonts w:ascii="仿宋_GB2312" w:eastAsia="仿宋_GB2312"/>
                <w:color w:val="000000"/>
                <w:kern w:val="0"/>
                <w:szCs w:val="21"/>
              </w:rPr>
              <w:t>;</w:t>
            </w:r>
            <w:r>
              <w:rPr>
                <w:rFonts w:hint="eastAsia" w:ascii="仿宋_GB2312" w:eastAsia="仿宋_GB2312"/>
                <w:color w:val="000000"/>
                <w:kern w:val="0"/>
                <w:szCs w:val="21"/>
              </w:rPr>
              <w:t>配套景观风貌绿化提升</w:t>
            </w:r>
            <w:r>
              <w:rPr>
                <w:rFonts w:ascii="仿宋_GB2312" w:eastAsia="仿宋_GB2312"/>
                <w:color w:val="000000"/>
                <w:kern w:val="0"/>
                <w:szCs w:val="21"/>
              </w:rPr>
              <w:t>;</w:t>
            </w:r>
            <w:r>
              <w:rPr>
                <w:rFonts w:hint="eastAsia" w:ascii="仿宋_GB2312" w:eastAsia="仿宋_GB2312"/>
                <w:color w:val="000000"/>
                <w:kern w:val="0"/>
                <w:szCs w:val="21"/>
              </w:rPr>
              <w:t>标识标牌导视，建设</w:t>
            </w:r>
            <w:r>
              <w:rPr>
                <w:rFonts w:ascii="仿宋_GB2312" w:eastAsia="仿宋_GB2312"/>
                <w:color w:val="000000"/>
                <w:kern w:val="0"/>
                <w:szCs w:val="21"/>
              </w:rPr>
              <w:t>500</w:t>
            </w:r>
            <w:r>
              <w:rPr>
                <w:rFonts w:hint="eastAsia" w:ascii="仿宋_GB2312" w:eastAsia="仿宋_GB2312"/>
                <w:color w:val="000000"/>
                <w:kern w:val="0"/>
                <w:szCs w:val="21"/>
              </w:rPr>
              <w:t>个。</w:t>
            </w:r>
          </w:p>
        </w:tc>
        <w:tc>
          <w:tcPr>
            <w:tcW w:w="1188" w:type="dxa"/>
            <w:vAlign w:val="center"/>
          </w:tcPr>
          <w:p w14:paraId="0E185332">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14:paraId="5D3000CD">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14:paraId="32445F31">
            <w:pPr>
              <w:widowControl/>
              <w:spacing w:line="280" w:lineRule="exact"/>
              <w:jc w:val="center"/>
              <w:rPr>
                <w:rFonts w:ascii="仿宋_GB2312" w:eastAsia="仿宋_GB2312"/>
                <w:color w:val="000000"/>
                <w:kern w:val="0"/>
                <w:szCs w:val="21"/>
              </w:rPr>
            </w:pPr>
          </w:p>
        </w:tc>
      </w:tr>
      <w:bookmarkEnd w:id="231"/>
      <w:bookmarkEnd w:id="232"/>
      <w:bookmarkEnd w:id="233"/>
      <w:bookmarkEnd w:id="234"/>
    </w:tbl>
    <w:p w14:paraId="397982B6">
      <w:pPr>
        <w:jc w:val="center"/>
        <w:rPr>
          <w:color w:val="000000"/>
          <w:sz w:val="32"/>
          <w:szCs w:val="32"/>
        </w:rPr>
      </w:pPr>
    </w:p>
    <w:p w14:paraId="4474F772">
      <w:pPr>
        <w:jc w:val="center"/>
        <w:rPr>
          <w:rFonts w:ascii="仿宋_GB2312" w:hAnsi="楷体" w:eastAsia="仿宋_GB2312"/>
          <w:color w:val="000000"/>
          <w:sz w:val="24"/>
        </w:rPr>
      </w:pPr>
      <w:r>
        <w:rPr>
          <w:rFonts w:ascii="仿宋_GB2312" w:hAnsi="楷体" w:eastAsia="仿宋_GB2312"/>
          <w:color w:val="000000"/>
          <w:sz w:val="24"/>
        </w:rPr>
        <w:br w:type="page"/>
      </w:r>
      <w:r>
        <w:rPr>
          <w:rFonts w:hint="eastAsia" w:ascii="仿宋_GB2312" w:hAnsi="楷体" w:eastAsia="仿宋_GB2312"/>
          <w:color w:val="000000"/>
          <w:sz w:val="24"/>
        </w:rPr>
        <w:t>附表</w:t>
      </w:r>
      <w:r>
        <w:rPr>
          <w:rFonts w:ascii="仿宋_GB2312" w:hAnsi="楷体" w:eastAsia="仿宋_GB2312"/>
          <w:color w:val="000000"/>
          <w:sz w:val="24"/>
        </w:rPr>
        <w:t>2</w:t>
      </w:r>
      <w:r>
        <w:rPr>
          <w:rFonts w:hint="eastAsia" w:ascii="仿宋_GB2312" w:hAnsi="楷体" w:eastAsia="仿宋_GB2312"/>
          <w:color w:val="000000"/>
          <w:sz w:val="24"/>
        </w:rPr>
        <w:t>：鄂州市“十四五”文旅体广公共服务类建设项目库</w:t>
      </w:r>
    </w:p>
    <w:tbl>
      <w:tblPr>
        <w:tblStyle w:val="14"/>
        <w:tblW w:w="14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03"/>
        <w:gridCol w:w="734"/>
        <w:gridCol w:w="734"/>
        <w:gridCol w:w="1285"/>
        <w:gridCol w:w="7618"/>
        <w:gridCol w:w="1285"/>
        <w:gridCol w:w="1037"/>
      </w:tblGrid>
      <w:tr w14:paraId="774E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51" w:type="dxa"/>
            <w:vAlign w:val="center"/>
          </w:tcPr>
          <w:p w14:paraId="03B97373">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77" w:type="dxa"/>
            <w:vAlign w:val="center"/>
          </w:tcPr>
          <w:p w14:paraId="5FFE57DB">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0" w:type="dxa"/>
            <w:vAlign w:val="center"/>
          </w:tcPr>
          <w:p w14:paraId="4BD0BDC5">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0" w:type="dxa"/>
            <w:vAlign w:val="center"/>
          </w:tcPr>
          <w:p w14:paraId="21D44E2E">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60" w:type="dxa"/>
            <w:vAlign w:val="center"/>
          </w:tcPr>
          <w:p w14:paraId="342423C1">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469" w:type="dxa"/>
            <w:vAlign w:val="center"/>
          </w:tcPr>
          <w:p w14:paraId="55C972EB">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260" w:type="dxa"/>
            <w:vAlign w:val="center"/>
          </w:tcPr>
          <w:p w14:paraId="6D351C27">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w:t>
            </w:r>
          </w:p>
          <w:p w14:paraId="72908B71">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年限</w:t>
            </w:r>
          </w:p>
        </w:tc>
        <w:tc>
          <w:tcPr>
            <w:tcW w:w="1017" w:type="dxa"/>
            <w:vAlign w:val="center"/>
          </w:tcPr>
          <w:p w14:paraId="4FAB43A2">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r>
      <w:tr w14:paraId="26B5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4" w:type="dxa"/>
            <w:gridSpan w:val="8"/>
            <w:vAlign w:val="center"/>
          </w:tcPr>
          <w:p w14:paraId="22BC21CA">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51.85</w:t>
            </w:r>
            <w:r>
              <w:rPr>
                <w:rFonts w:hint="eastAsia" w:ascii="仿宋_GB2312" w:eastAsia="仿宋_GB2312"/>
                <w:bCs/>
                <w:color w:val="000000"/>
                <w:kern w:val="0"/>
                <w:szCs w:val="21"/>
              </w:rPr>
              <w:t>亿元</w:t>
            </w:r>
            <w:r>
              <w:rPr>
                <w:rFonts w:ascii="仿宋_GB2312" w:eastAsia="仿宋_GB2312"/>
                <w:bCs/>
                <w:color w:val="000000"/>
                <w:kern w:val="0"/>
                <w:szCs w:val="21"/>
              </w:rPr>
              <w:t xml:space="preserve"> </w:t>
            </w:r>
          </w:p>
        </w:tc>
      </w:tr>
      <w:tr w14:paraId="07CA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6971EB6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w:t>
            </w:r>
          </w:p>
        </w:tc>
        <w:tc>
          <w:tcPr>
            <w:tcW w:w="1277" w:type="dxa"/>
            <w:vAlign w:val="center"/>
          </w:tcPr>
          <w:p w14:paraId="46796DF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市会展中心</w:t>
            </w:r>
          </w:p>
        </w:tc>
        <w:tc>
          <w:tcPr>
            <w:tcW w:w="720" w:type="dxa"/>
            <w:vAlign w:val="center"/>
          </w:tcPr>
          <w:p w14:paraId="7329807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1597013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78127D5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4A728F6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7</w:t>
            </w:r>
            <w:r>
              <w:rPr>
                <w:rFonts w:hint="eastAsia" w:ascii="仿宋_GB2312" w:eastAsia="仿宋_GB2312"/>
                <w:color w:val="000000"/>
                <w:kern w:val="0"/>
                <w:szCs w:val="21"/>
              </w:rPr>
              <w:t>亿元，总建筑面积</w:t>
            </w:r>
            <w:r>
              <w:rPr>
                <w:rFonts w:ascii="仿宋_GB2312" w:eastAsia="仿宋_GB2312"/>
                <w:color w:val="000000"/>
                <w:kern w:val="0"/>
                <w:szCs w:val="21"/>
              </w:rPr>
              <w:t>100437</w:t>
            </w:r>
            <w:r>
              <w:rPr>
                <w:rFonts w:hint="eastAsia" w:ascii="仿宋_GB2312" w:eastAsia="仿宋_GB2312"/>
                <w:color w:val="000000"/>
                <w:kern w:val="0"/>
                <w:szCs w:val="21"/>
              </w:rPr>
              <w:t>平方米。主要建设会议中心、展示中心、管理用房、设备用房及餐饮、库房、地下停车场等配套设施。</w:t>
            </w:r>
          </w:p>
        </w:tc>
        <w:tc>
          <w:tcPr>
            <w:tcW w:w="1260" w:type="dxa"/>
            <w:vAlign w:val="center"/>
          </w:tcPr>
          <w:p w14:paraId="704BDAB3">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734E780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70000</w:t>
            </w:r>
          </w:p>
        </w:tc>
      </w:tr>
      <w:tr w14:paraId="3254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5A496EC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w:t>
            </w:r>
          </w:p>
        </w:tc>
        <w:tc>
          <w:tcPr>
            <w:tcW w:w="1277" w:type="dxa"/>
            <w:vAlign w:val="center"/>
          </w:tcPr>
          <w:p w14:paraId="2E17C66F">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市体育中心</w:t>
            </w:r>
          </w:p>
        </w:tc>
        <w:tc>
          <w:tcPr>
            <w:tcW w:w="720" w:type="dxa"/>
            <w:vAlign w:val="center"/>
          </w:tcPr>
          <w:p w14:paraId="0D62119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760CB9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6299B3F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223AB8F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20</w:t>
            </w:r>
            <w:r>
              <w:rPr>
                <w:rFonts w:hint="eastAsia" w:ascii="仿宋_GB2312" w:eastAsia="仿宋_GB2312"/>
                <w:color w:val="000000"/>
                <w:kern w:val="0"/>
                <w:szCs w:val="21"/>
              </w:rPr>
              <w:t>亿元，总建设面积</w:t>
            </w:r>
            <w:r>
              <w:rPr>
                <w:rFonts w:ascii="仿宋_GB2312" w:eastAsia="仿宋_GB2312"/>
                <w:color w:val="000000"/>
                <w:kern w:val="0"/>
                <w:szCs w:val="21"/>
              </w:rPr>
              <w:t>197394</w:t>
            </w:r>
            <w:r>
              <w:rPr>
                <w:rFonts w:hint="eastAsia" w:ascii="仿宋_GB2312" w:eastAsia="仿宋_GB2312"/>
                <w:color w:val="000000"/>
                <w:kern w:val="0"/>
                <w:szCs w:val="21"/>
              </w:rPr>
              <w:t>平方米。主要建设体育场、体育馆、游泳馆、全民建设综合训练馆及室外足球场、网球场、篮球场、排球场、羽毛球场及室外广场、绿化、道路及停车场等配套设施。</w:t>
            </w:r>
          </w:p>
        </w:tc>
        <w:tc>
          <w:tcPr>
            <w:tcW w:w="1260" w:type="dxa"/>
            <w:vAlign w:val="center"/>
          </w:tcPr>
          <w:p w14:paraId="2EF424E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2023-2024</w:t>
            </w:r>
          </w:p>
        </w:tc>
        <w:tc>
          <w:tcPr>
            <w:tcW w:w="1017" w:type="dxa"/>
            <w:vAlign w:val="center"/>
          </w:tcPr>
          <w:p w14:paraId="4ACAB18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200000</w:t>
            </w:r>
          </w:p>
        </w:tc>
      </w:tr>
      <w:tr w14:paraId="2DA1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DC1F8A4">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w:t>
            </w:r>
          </w:p>
        </w:tc>
        <w:tc>
          <w:tcPr>
            <w:tcW w:w="1277" w:type="dxa"/>
            <w:vAlign w:val="center"/>
          </w:tcPr>
          <w:p w14:paraId="50D1EE6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市文化中心</w:t>
            </w:r>
          </w:p>
        </w:tc>
        <w:tc>
          <w:tcPr>
            <w:tcW w:w="720" w:type="dxa"/>
            <w:vAlign w:val="center"/>
          </w:tcPr>
          <w:p w14:paraId="481A316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7EDDC1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28D427E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14:paraId="7C40BE5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3.8</w:t>
            </w:r>
            <w:r>
              <w:rPr>
                <w:rFonts w:hint="eastAsia" w:ascii="仿宋_GB2312" w:eastAsia="仿宋_GB2312"/>
                <w:color w:val="000000"/>
                <w:kern w:val="0"/>
                <w:szCs w:val="21"/>
              </w:rPr>
              <w:t>亿元，建筑面积</w:t>
            </w:r>
            <w:r>
              <w:rPr>
                <w:rFonts w:ascii="仿宋_GB2312" w:eastAsia="仿宋_GB2312"/>
                <w:color w:val="000000"/>
                <w:kern w:val="0"/>
                <w:szCs w:val="21"/>
              </w:rPr>
              <w:t>42123</w:t>
            </w:r>
            <w:r>
              <w:rPr>
                <w:rFonts w:hint="eastAsia" w:ascii="仿宋_GB2312" w:eastAsia="仿宋_GB2312"/>
                <w:color w:val="000000"/>
                <w:kern w:val="0"/>
                <w:szCs w:val="21"/>
              </w:rPr>
              <w:t>平方米。主要建设剧院、多功能厅、公共剧务用房、业务管理用房、文化教育培训用房、小秀场及地下停车场、设备用房等配套设施。</w:t>
            </w:r>
          </w:p>
        </w:tc>
        <w:tc>
          <w:tcPr>
            <w:tcW w:w="1260" w:type="dxa"/>
            <w:vAlign w:val="center"/>
          </w:tcPr>
          <w:p w14:paraId="072806D1">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14:paraId="24EF03D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38000</w:t>
            </w:r>
          </w:p>
        </w:tc>
      </w:tr>
      <w:tr w14:paraId="69FD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610FF6A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w:t>
            </w:r>
          </w:p>
        </w:tc>
        <w:tc>
          <w:tcPr>
            <w:tcW w:w="1277" w:type="dxa"/>
            <w:vAlign w:val="center"/>
          </w:tcPr>
          <w:p w14:paraId="3DD9D7B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吴都生态廊道全民健身区</w:t>
            </w:r>
          </w:p>
        </w:tc>
        <w:tc>
          <w:tcPr>
            <w:tcW w:w="720" w:type="dxa"/>
            <w:vAlign w:val="center"/>
          </w:tcPr>
          <w:p w14:paraId="5448DD0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AADF0B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64BD9C7E">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51E63E7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12614</w:t>
            </w:r>
            <w:r>
              <w:rPr>
                <w:rFonts w:hint="eastAsia" w:ascii="仿宋_GB2312" w:eastAsia="仿宋_GB2312"/>
                <w:color w:val="000000"/>
                <w:kern w:val="0"/>
                <w:szCs w:val="21"/>
              </w:rPr>
              <w:t>平方米，其中五人制足球场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3952</w:t>
            </w:r>
            <w:r>
              <w:rPr>
                <w:rFonts w:hint="eastAsia" w:ascii="仿宋_GB2312" w:eastAsia="仿宋_GB2312"/>
                <w:color w:val="000000"/>
                <w:kern w:val="0"/>
                <w:szCs w:val="21"/>
              </w:rPr>
              <w:t>平方米，篮球场</w:t>
            </w:r>
            <w:r>
              <w:rPr>
                <w:rFonts w:ascii="仿宋_GB2312" w:eastAsia="仿宋_GB2312"/>
                <w:color w:val="000000"/>
                <w:kern w:val="0"/>
                <w:szCs w:val="21"/>
              </w:rPr>
              <w:t>3</w:t>
            </w:r>
            <w:r>
              <w:rPr>
                <w:rFonts w:hint="eastAsia" w:ascii="仿宋_GB2312" w:eastAsia="仿宋_GB2312"/>
                <w:color w:val="000000"/>
                <w:kern w:val="0"/>
                <w:szCs w:val="21"/>
              </w:rPr>
              <w:t>片</w:t>
            </w:r>
            <w:r>
              <w:rPr>
                <w:rFonts w:ascii="仿宋_GB2312" w:eastAsia="仿宋_GB2312"/>
                <w:color w:val="000000"/>
                <w:kern w:val="0"/>
                <w:szCs w:val="21"/>
              </w:rPr>
              <w:t>1695</w:t>
            </w:r>
            <w:r>
              <w:rPr>
                <w:rFonts w:hint="eastAsia" w:ascii="仿宋_GB2312" w:eastAsia="仿宋_GB2312"/>
                <w:color w:val="000000"/>
                <w:kern w:val="0"/>
                <w:szCs w:val="21"/>
              </w:rPr>
              <w:t>平方米，网球场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2797</w:t>
            </w:r>
            <w:r>
              <w:rPr>
                <w:rFonts w:hint="eastAsia" w:ascii="仿宋_GB2312" w:eastAsia="仿宋_GB2312"/>
                <w:color w:val="000000"/>
                <w:kern w:val="0"/>
                <w:szCs w:val="21"/>
              </w:rPr>
              <w:t>平方米，拼装游泳池</w:t>
            </w:r>
            <w:r>
              <w:rPr>
                <w:rFonts w:ascii="仿宋_GB2312" w:eastAsia="仿宋_GB2312"/>
                <w:color w:val="000000"/>
                <w:kern w:val="0"/>
                <w:szCs w:val="21"/>
              </w:rPr>
              <w:t>1200</w:t>
            </w:r>
            <w:r>
              <w:rPr>
                <w:rFonts w:hint="eastAsia" w:ascii="仿宋_GB2312" w:eastAsia="仿宋_GB2312"/>
                <w:color w:val="000000"/>
                <w:kern w:val="0"/>
                <w:szCs w:val="21"/>
              </w:rPr>
              <w:t>平方米、中心广场</w:t>
            </w:r>
            <w:r>
              <w:rPr>
                <w:rFonts w:ascii="仿宋_GB2312" w:eastAsia="仿宋_GB2312"/>
                <w:color w:val="000000"/>
                <w:kern w:val="0"/>
                <w:szCs w:val="21"/>
              </w:rPr>
              <w:t>1100</w:t>
            </w:r>
            <w:r>
              <w:rPr>
                <w:rFonts w:hint="eastAsia" w:ascii="仿宋_GB2312" w:eastAsia="仿宋_GB2312"/>
                <w:color w:val="000000"/>
                <w:kern w:val="0"/>
                <w:szCs w:val="21"/>
              </w:rPr>
              <w:t>平方米、停车场</w:t>
            </w:r>
            <w:r>
              <w:rPr>
                <w:rFonts w:ascii="仿宋_GB2312" w:eastAsia="仿宋_GB2312"/>
                <w:color w:val="000000"/>
                <w:kern w:val="0"/>
                <w:szCs w:val="21"/>
              </w:rPr>
              <w:t>1870</w:t>
            </w:r>
            <w:r>
              <w:rPr>
                <w:rFonts w:hint="eastAsia" w:ascii="仿宋_GB2312" w:eastAsia="仿宋_GB2312"/>
                <w:color w:val="000000"/>
                <w:kern w:val="0"/>
                <w:szCs w:val="21"/>
              </w:rPr>
              <w:t>平方米、供配电及照明、给排水、通风、消防、弱电等相关配套设施等工程。</w:t>
            </w:r>
          </w:p>
        </w:tc>
        <w:tc>
          <w:tcPr>
            <w:tcW w:w="1260" w:type="dxa"/>
            <w:vAlign w:val="center"/>
          </w:tcPr>
          <w:p w14:paraId="0CD0DA3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14:paraId="716DA67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814.3</w:t>
            </w:r>
          </w:p>
        </w:tc>
      </w:tr>
      <w:tr w14:paraId="0685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37D7795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5</w:t>
            </w:r>
          </w:p>
        </w:tc>
        <w:tc>
          <w:tcPr>
            <w:tcW w:w="1277" w:type="dxa"/>
            <w:vAlign w:val="center"/>
          </w:tcPr>
          <w:p w14:paraId="41EE401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葛店文体公园</w:t>
            </w:r>
          </w:p>
        </w:tc>
        <w:tc>
          <w:tcPr>
            <w:tcW w:w="720" w:type="dxa"/>
            <w:vAlign w:val="center"/>
          </w:tcPr>
          <w:p w14:paraId="3EF45467">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2F034DA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57C278E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14:paraId="0B9A2A0D">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总投资约</w:t>
            </w:r>
            <w:r>
              <w:rPr>
                <w:rFonts w:ascii="仿宋_GB2312" w:eastAsia="仿宋_GB2312"/>
                <w:color w:val="000000"/>
                <w:kern w:val="0"/>
                <w:szCs w:val="21"/>
              </w:rPr>
              <w:t>14</w:t>
            </w:r>
            <w:r>
              <w:rPr>
                <w:rFonts w:hint="eastAsia" w:ascii="仿宋_GB2312" w:eastAsia="仿宋_GB2312"/>
                <w:color w:val="000000"/>
                <w:kern w:val="0"/>
                <w:szCs w:val="21"/>
              </w:rPr>
              <w:t>亿元，占地</w:t>
            </w:r>
            <w:r>
              <w:rPr>
                <w:rFonts w:ascii="仿宋_GB2312" w:eastAsia="仿宋_GB2312"/>
                <w:color w:val="000000"/>
                <w:kern w:val="0"/>
                <w:szCs w:val="21"/>
              </w:rPr>
              <w:t>1100</w:t>
            </w:r>
            <w:r>
              <w:rPr>
                <w:rFonts w:hint="eastAsia" w:ascii="仿宋_GB2312" w:eastAsia="仿宋_GB2312"/>
                <w:color w:val="000000"/>
                <w:kern w:val="0"/>
                <w:szCs w:val="21"/>
              </w:rPr>
              <w:t>亩，主要建设综合体育馆、专业体育场（足球场）、游泳馆、展示馆、图书馆及室外广场、绿化、道路及停车场等配套设施。</w:t>
            </w:r>
          </w:p>
        </w:tc>
        <w:tc>
          <w:tcPr>
            <w:tcW w:w="1260" w:type="dxa"/>
            <w:vAlign w:val="center"/>
          </w:tcPr>
          <w:p w14:paraId="6CBA2B05">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2019-2022</w:t>
            </w:r>
          </w:p>
        </w:tc>
        <w:tc>
          <w:tcPr>
            <w:tcW w:w="1017" w:type="dxa"/>
            <w:vAlign w:val="center"/>
          </w:tcPr>
          <w:p w14:paraId="42B3991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140000 </w:t>
            </w:r>
          </w:p>
        </w:tc>
      </w:tr>
      <w:tr w14:paraId="4309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78DF3CD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w:t>
            </w:r>
          </w:p>
        </w:tc>
        <w:tc>
          <w:tcPr>
            <w:tcW w:w="1277" w:type="dxa"/>
            <w:vAlign w:val="center"/>
          </w:tcPr>
          <w:p w14:paraId="42853AA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葛华新城旅游服务站</w:t>
            </w:r>
          </w:p>
        </w:tc>
        <w:tc>
          <w:tcPr>
            <w:tcW w:w="720" w:type="dxa"/>
            <w:vAlign w:val="center"/>
          </w:tcPr>
          <w:p w14:paraId="5D8B61F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4ED801A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14:paraId="021E133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4B88AC24">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该项目位于鄂州市华容城区文昌大道北侧、兴华路西侧地块。建设内容包括游客服务中心、站前广场、停车场等，并配套建设绿化、给排水等设施。总建筑面积</w:t>
            </w:r>
            <w:r>
              <w:rPr>
                <w:rFonts w:ascii="仿宋_GB2312" w:eastAsia="仿宋_GB2312"/>
                <w:color w:val="000000"/>
                <w:kern w:val="0"/>
                <w:szCs w:val="21"/>
              </w:rPr>
              <w:t>4706.84</w:t>
            </w:r>
            <w:r>
              <w:rPr>
                <w:rFonts w:hint="eastAsia" w:ascii="仿宋_GB2312" w:eastAsia="仿宋_GB2312"/>
                <w:color w:val="000000"/>
                <w:kern w:val="0"/>
                <w:szCs w:val="21"/>
              </w:rPr>
              <w:t>平方米。</w:t>
            </w:r>
          </w:p>
        </w:tc>
        <w:tc>
          <w:tcPr>
            <w:tcW w:w="1260" w:type="dxa"/>
            <w:vAlign w:val="center"/>
          </w:tcPr>
          <w:p w14:paraId="255B034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14:paraId="09A0778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3276</w:t>
            </w:r>
          </w:p>
        </w:tc>
      </w:tr>
      <w:tr w14:paraId="5BF9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73AA523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w:t>
            </w:r>
          </w:p>
        </w:tc>
        <w:tc>
          <w:tcPr>
            <w:tcW w:w="1277" w:type="dxa"/>
            <w:vAlign w:val="center"/>
          </w:tcPr>
          <w:p w14:paraId="6148E25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华容区体育中心项目</w:t>
            </w:r>
          </w:p>
        </w:tc>
        <w:tc>
          <w:tcPr>
            <w:tcW w:w="720" w:type="dxa"/>
            <w:vAlign w:val="center"/>
          </w:tcPr>
          <w:p w14:paraId="6B34989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0AF6208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DD7A99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7EB003D2">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体育馆（主场馆）、标准足球场、功能用房、室外健身活动场地。其中：体育中心主场馆建筑面积为</w:t>
            </w:r>
            <w:r>
              <w:rPr>
                <w:rFonts w:ascii="仿宋_GB2312" w:eastAsia="仿宋_GB2312"/>
                <w:color w:val="000000"/>
                <w:kern w:val="0"/>
                <w:szCs w:val="21"/>
              </w:rPr>
              <w:t>8000-12000</w:t>
            </w:r>
            <w:r>
              <w:rPr>
                <w:rFonts w:hint="eastAsia" w:ascii="仿宋_GB2312" w:eastAsia="仿宋_GB2312"/>
                <w:color w:val="000000"/>
                <w:kern w:val="0"/>
                <w:szCs w:val="21"/>
              </w:rPr>
              <w:t>平方米，主场馆项目预计总投资</w:t>
            </w:r>
            <w:r>
              <w:rPr>
                <w:rFonts w:ascii="仿宋_GB2312" w:eastAsia="仿宋_GB2312"/>
                <w:color w:val="000000"/>
                <w:kern w:val="0"/>
                <w:szCs w:val="21"/>
              </w:rPr>
              <w:t>4800</w:t>
            </w:r>
            <w:r>
              <w:rPr>
                <w:rFonts w:hint="eastAsia" w:ascii="仿宋_GB2312" w:eastAsia="仿宋_GB2312"/>
                <w:color w:val="000000"/>
                <w:kern w:val="0"/>
                <w:szCs w:val="21"/>
              </w:rPr>
              <w:t>万元；标准足球场及其他室外体育场地建设用地</w:t>
            </w:r>
            <w:r>
              <w:rPr>
                <w:rFonts w:ascii="仿宋_GB2312" w:eastAsia="仿宋_GB2312"/>
                <w:color w:val="000000"/>
                <w:kern w:val="0"/>
                <w:szCs w:val="21"/>
              </w:rPr>
              <w:t>18000</w:t>
            </w:r>
            <w:r>
              <w:rPr>
                <w:rFonts w:hint="eastAsia" w:ascii="仿宋_GB2312" w:eastAsia="仿宋_GB2312"/>
                <w:color w:val="000000"/>
                <w:kern w:val="0"/>
                <w:szCs w:val="21"/>
              </w:rPr>
              <w:t>平方米，总投资为</w:t>
            </w:r>
            <w:r>
              <w:rPr>
                <w:rFonts w:ascii="仿宋_GB2312" w:eastAsia="仿宋_GB2312"/>
                <w:color w:val="000000"/>
                <w:kern w:val="0"/>
                <w:szCs w:val="21"/>
              </w:rPr>
              <w:t>3280</w:t>
            </w:r>
            <w:r>
              <w:rPr>
                <w:rFonts w:hint="eastAsia" w:ascii="仿宋_GB2312" w:eastAsia="仿宋_GB2312"/>
                <w:color w:val="000000"/>
                <w:kern w:val="0"/>
                <w:szCs w:val="21"/>
              </w:rPr>
              <w:t>万元。建设周期二年。</w:t>
            </w:r>
          </w:p>
        </w:tc>
        <w:tc>
          <w:tcPr>
            <w:tcW w:w="1260" w:type="dxa"/>
            <w:vAlign w:val="center"/>
          </w:tcPr>
          <w:p w14:paraId="7E896F72">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14:paraId="360C2E86">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8000 </w:t>
            </w:r>
          </w:p>
        </w:tc>
      </w:tr>
      <w:tr w14:paraId="4A71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51" w:type="dxa"/>
            <w:vAlign w:val="center"/>
          </w:tcPr>
          <w:p w14:paraId="0D59796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w:t>
            </w:r>
          </w:p>
        </w:tc>
        <w:tc>
          <w:tcPr>
            <w:tcW w:w="1277" w:type="dxa"/>
            <w:vAlign w:val="center"/>
          </w:tcPr>
          <w:p w14:paraId="6F8A097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体育公园</w:t>
            </w:r>
          </w:p>
        </w:tc>
        <w:tc>
          <w:tcPr>
            <w:tcW w:w="720" w:type="dxa"/>
            <w:vAlign w:val="center"/>
          </w:tcPr>
          <w:p w14:paraId="4B792CF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FB5060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913502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70540773">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以体育休闲和生态旅游为主题，集生态游项目、大自然课堂以及趣味运动为一体的主题公园，务求为游客打造快乐，健康，和谐的生活方式。</w:t>
            </w:r>
          </w:p>
        </w:tc>
        <w:tc>
          <w:tcPr>
            <w:tcW w:w="1260" w:type="dxa"/>
            <w:vAlign w:val="center"/>
          </w:tcPr>
          <w:p w14:paraId="441305CD">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2020-2023</w:t>
            </w:r>
          </w:p>
        </w:tc>
        <w:tc>
          <w:tcPr>
            <w:tcW w:w="1017" w:type="dxa"/>
            <w:vAlign w:val="center"/>
          </w:tcPr>
          <w:p w14:paraId="3A9A31D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10000 </w:t>
            </w:r>
          </w:p>
        </w:tc>
      </w:tr>
      <w:tr w14:paraId="14D3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315756F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9</w:t>
            </w:r>
          </w:p>
        </w:tc>
        <w:tc>
          <w:tcPr>
            <w:tcW w:w="1277" w:type="dxa"/>
            <w:vAlign w:val="center"/>
          </w:tcPr>
          <w:p w14:paraId="165D81E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沿江绿道</w:t>
            </w:r>
          </w:p>
        </w:tc>
        <w:tc>
          <w:tcPr>
            <w:tcW w:w="720" w:type="dxa"/>
            <w:vAlign w:val="center"/>
          </w:tcPr>
          <w:p w14:paraId="1710B398">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657405E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4F76C2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14:paraId="1A005236">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既是沿江绿道，又是健身步道，也是马拉松步道</w:t>
            </w:r>
          </w:p>
        </w:tc>
        <w:tc>
          <w:tcPr>
            <w:tcW w:w="1260" w:type="dxa"/>
            <w:vAlign w:val="center"/>
          </w:tcPr>
          <w:p w14:paraId="1F6C89F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7089DB60">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9000 </w:t>
            </w:r>
          </w:p>
        </w:tc>
      </w:tr>
      <w:tr w14:paraId="1584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79E489AC">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w:t>
            </w:r>
          </w:p>
        </w:tc>
        <w:tc>
          <w:tcPr>
            <w:tcW w:w="1277" w:type="dxa"/>
            <w:vAlign w:val="center"/>
          </w:tcPr>
          <w:p w14:paraId="3C74051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华容区文化中心</w:t>
            </w:r>
          </w:p>
        </w:tc>
        <w:tc>
          <w:tcPr>
            <w:tcW w:w="720" w:type="dxa"/>
            <w:vAlign w:val="center"/>
          </w:tcPr>
          <w:p w14:paraId="0FB46A4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B7465F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1DE2C40A">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14:paraId="7FCC8675">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项目用地面积</w:t>
            </w:r>
            <w:r>
              <w:rPr>
                <w:rFonts w:ascii="仿宋_GB2312" w:eastAsia="仿宋_GB2312"/>
                <w:color w:val="000000"/>
                <w:kern w:val="0"/>
                <w:szCs w:val="21"/>
              </w:rPr>
              <w:t>9735</w:t>
            </w:r>
            <w:r>
              <w:rPr>
                <w:rFonts w:hint="eastAsia" w:ascii="仿宋_GB2312" w:eastAsia="仿宋_GB2312"/>
                <w:color w:val="000000"/>
                <w:kern w:val="0"/>
                <w:szCs w:val="21"/>
              </w:rPr>
              <w:t>平方米，总建筑面积为</w:t>
            </w:r>
            <w:r>
              <w:rPr>
                <w:rFonts w:ascii="仿宋_GB2312" w:eastAsia="仿宋_GB2312"/>
                <w:color w:val="000000"/>
                <w:kern w:val="0"/>
                <w:szCs w:val="21"/>
              </w:rPr>
              <w:t>8000</w:t>
            </w:r>
            <w:r>
              <w:rPr>
                <w:rFonts w:hint="eastAsia" w:ascii="仿宋_GB2312" w:eastAsia="仿宋_GB2312"/>
                <w:color w:val="000000"/>
                <w:kern w:val="0"/>
                <w:szCs w:val="21"/>
              </w:rPr>
              <w:t>平方米，其中区文化馆（含文化广场）建筑面积为</w:t>
            </w:r>
            <w:r>
              <w:rPr>
                <w:rFonts w:ascii="仿宋_GB2312" w:eastAsia="仿宋_GB2312"/>
                <w:color w:val="000000"/>
                <w:kern w:val="0"/>
                <w:szCs w:val="21"/>
              </w:rPr>
              <w:t>3600</w:t>
            </w:r>
            <w:r>
              <w:rPr>
                <w:rFonts w:hint="eastAsia" w:ascii="仿宋_GB2312" w:eastAsia="仿宋_GB2312"/>
                <w:color w:val="000000"/>
                <w:kern w:val="0"/>
                <w:szCs w:val="21"/>
              </w:rPr>
              <w:t>平方米；区博物馆（非遗馆）建筑面积为</w:t>
            </w:r>
            <w:r>
              <w:rPr>
                <w:rFonts w:ascii="仿宋_GB2312" w:eastAsia="仿宋_GB2312"/>
                <w:color w:val="000000"/>
                <w:kern w:val="0"/>
                <w:szCs w:val="21"/>
              </w:rPr>
              <w:t>3000</w:t>
            </w:r>
            <w:r>
              <w:rPr>
                <w:rFonts w:hint="eastAsia" w:ascii="仿宋_GB2312" w:eastAsia="仿宋_GB2312"/>
                <w:color w:val="000000"/>
                <w:kern w:val="0"/>
                <w:szCs w:val="21"/>
              </w:rPr>
              <w:t>平方米、影城面积为</w:t>
            </w:r>
            <w:r>
              <w:rPr>
                <w:rFonts w:ascii="仿宋_GB2312" w:eastAsia="仿宋_GB2312"/>
                <w:color w:val="000000"/>
                <w:kern w:val="0"/>
                <w:szCs w:val="21"/>
              </w:rPr>
              <w:t>1300</w:t>
            </w:r>
            <w:r>
              <w:rPr>
                <w:rFonts w:hint="eastAsia" w:ascii="仿宋_GB2312" w:eastAsia="仿宋_GB2312"/>
                <w:color w:val="000000"/>
                <w:kern w:val="0"/>
                <w:szCs w:val="21"/>
              </w:rPr>
              <w:t>平方米。计划总投资</w:t>
            </w:r>
            <w:r>
              <w:rPr>
                <w:rFonts w:ascii="仿宋_GB2312" w:eastAsia="仿宋_GB2312"/>
                <w:color w:val="000000"/>
                <w:kern w:val="0"/>
                <w:szCs w:val="21"/>
              </w:rPr>
              <w:t>4542.82</w:t>
            </w:r>
            <w:r>
              <w:rPr>
                <w:rFonts w:hint="eastAsia" w:ascii="仿宋_GB2312" w:eastAsia="仿宋_GB2312"/>
                <w:color w:val="000000"/>
                <w:kern w:val="0"/>
                <w:szCs w:val="21"/>
              </w:rPr>
              <w:t>万元。</w:t>
            </w:r>
          </w:p>
        </w:tc>
        <w:tc>
          <w:tcPr>
            <w:tcW w:w="1260" w:type="dxa"/>
            <w:vAlign w:val="center"/>
          </w:tcPr>
          <w:p w14:paraId="2099F2C9">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60BC1D74">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4542.82</w:t>
            </w:r>
          </w:p>
        </w:tc>
      </w:tr>
      <w:tr w14:paraId="5B2C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14D2322">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11</w:t>
            </w:r>
          </w:p>
        </w:tc>
        <w:tc>
          <w:tcPr>
            <w:tcW w:w="1277" w:type="dxa"/>
            <w:vAlign w:val="center"/>
          </w:tcPr>
          <w:p w14:paraId="4E3421C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梁子湖区图书馆</w:t>
            </w:r>
          </w:p>
        </w:tc>
        <w:tc>
          <w:tcPr>
            <w:tcW w:w="720" w:type="dxa"/>
            <w:vAlign w:val="center"/>
          </w:tcPr>
          <w:p w14:paraId="19E4A38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428508D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4E37F19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19CCD228">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2300</w:t>
            </w:r>
            <w:r>
              <w:rPr>
                <w:rFonts w:hint="eastAsia" w:ascii="仿宋_GB2312" w:eastAsia="仿宋_GB2312"/>
                <w:color w:val="000000"/>
                <w:kern w:val="0"/>
                <w:szCs w:val="21"/>
              </w:rPr>
              <w:t>平方米，项目整体建筑包括：藏书、借阅、咨询服务、公共活动与辅助服务、业务、行政办公、技术设备、后勤保障等。</w:t>
            </w:r>
          </w:p>
        </w:tc>
        <w:tc>
          <w:tcPr>
            <w:tcW w:w="1260" w:type="dxa"/>
            <w:vAlign w:val="center"/>
          </w:tcPr>
          <w:p w14:paraId="1889DE6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73C7B0C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648.49</w:t>
            </w:r>
          </w:p>
        </w:tc>
      </w:tr>
      <w:tr w14:paraId="551A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5DFF52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12</w:t>
            </w:r>
          </w:p>
        </w:tc>
        <w:tc>
          <w:tcPr>
            <w:tcW w:w="1277" w:type="dxa"/>
            <w:vAlign w:val="center"/>
          </w:tcPr>
          <w:p w14:paraId="57AFEDA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梁子湖区文化馆</w:t>
            </w:r>
          </w:p>
        </w:tc>
        <w:tc>
          <w:tcPr>
            <w:tcW w:w="720" w:type="dxa"/>
            <w:vAlign w:val="center"/>
          </w:tcPr>
          <w:p w14:paraId="46D937E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2CA5DA9D">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957DF7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10EA379E">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w:t>
            </w:r>
            <w:r>
              <w:rPr>
                <w:rFonts w:hint="eastAsia" w:ascii="仿宋_GB2312" w:eastAsia="仿宋_GB2312"/>
                <w:color w:val="000000"/>
                <w:kern w:val="0"/>
                <w:szCs w:val="21"/>
              </w:rPr>
              <w:t>平方米，项目整体建筑包括演艺活动、交流展示、辅导培训、图书阅览、游艺娱乐、文艺创作、行政管理、会议接待、库房、后勤服务等用房以及室外活动场地、绿化等。</w:t>
            </w:r>
          </w:p>
        </w:tc>
        <w:tc>
          <w:tcPr>
            <w:tcW w:w="1260" w:type="dxa"/>
            <w:vAlign w:val="center"/>
          </w:tcPr>
          <w:p w14:paraId="23FB1E7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14:paraId="3117E37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627.65</w:t>
            </w:r>
          </w:p>
        </w:tc>
      </w:tr>
      <w:tr w14:paraId="539B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4F3137F3">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13</w:t>
            </w:r>
          </w:p>
        </w:tc>
        <w:tc>
          <w:tcPr>
            <w:tcW w:w="1277" w:type="dxa"/>
            <w:vAlign w:val="center"/>
          </w:tcPr>
          <w:p w14:paraId="3FA7E07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梁子湖区体育运动中心项目</w:t>
            </w:r>
          </w:p>
        </w:tc>
        <w:tc>
          <w:tcPr>
            <w:tcW w:w="720" w:type="dxa"/>
            <w:vAlign w:val="center"/>
          </w:tcPr>
          <w:p w14:paraId="3518236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7CDEAD3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07070FF2">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0979E380">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建设内容：梁子湖区“一场两馆”（体育场、体育馆、游泳馆），主要建设体育活动中心场馆，健身设施、室内游泳馆以及相关配套设施等，兼顾公共卫生方舱医院功能。</w:t>
            </w:r>
          </w:p>
        </w:tc>
        <w:tc>
          <w:tcPr>
            <w:tcW w:w="1260" w:type="dxa"/>
            <w:vAlign w:val="center"/>
          </w:tcPr>
          <w:p w14:paraId="0ACF529D">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31C7960E">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w:t>
            </w:r>
          </w:p>
        </w:tc>
      </w:tr>
      <w:tr w14:paraId="1022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032944D4">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14</w:t>
            </w:r>
          </w:p>
        </w:tc>
        <w:tc>
          <w:tcPr>
            <w:tcW w:w="1277" w:type="dxa"/>
            <w:vAlign w:val="center"/>
          </w:tcPr>
          <w:p w14:paraId="46C3364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梁子湖智慧旅游建设</w:t>
            </w:r>
          </w:p>
          <w:p w14:paraId="51159739">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项目</w:t>
            </w:r>
          </w:p>
        </w:tc>
        <w:tc>
          <w:tcPr>
            <w:tcW w:w="720" w:type="dxa"/>
            <w:vAlign w:val="center"/>
          </w:tcPr>
          <w:p w14:paraId="7D730CE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164A719C">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7A0AD76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131F89A7">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建设梁子岛</w:t>
            </w:r>
            <w:r>
              <w:rPr>
                <w:rFonts w:ascii="仿宋_GB2312" w:eastAsia="仿宋_GB2312"/>
                <w:color w:val="000000"/>
                <w:kern w:val="0"/>
                <w:szCs w:val="21"/>
              </w:rPr>
              <w:t>+</w:t>
            </w:r>
            <w:r>
              <w:rPr>
                <w:rFonts w:hint="eastAsia" w:ascii="仿宋_GB2312" w:eastAsia="仿宋_GB2312"/>
                <w:color w:val="000000"/>
                <w:kern w:val="0"/>
                <w:szCs w:val="21"/>
              </w:rPr>
              <w:t>环湖乡村旅游智慧景区（乡村旅游点）为主的全域旅游平台建设及配套工程建设；</w:t>
            </w:r>
          </w:p>
        </w:tc>
        <w:tc>
          <w:tcPr>
            <w:tcW w:w="1260" w:type="dxa"/>
            <w:vAlign w:val="center"/>
          </w:tcPr>
          <w:p w14:paraId="24C099D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14:paraId="061CAFBF">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15000</w:t>
            </w:r>
          </w:p>
        </w:tc>
      </w:tr>
      <w:tr w14:paraId="0757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1BED6B5A">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w:t>
            </w:r>
          </w:p>
        </w:tc>
        <w:tc>
          <w:tcPr>
            <w:tcW w:w="1277" w:type="dxa"/>
            <w:vAlign w:val="center"/>
          </w:tcPr>
          <w:p w14:paraId="0AA6B344">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乡镇级全民健身示范</w:t>
            </w:r>
          </w:p>
          <w:p w14:paraId="3BD20073">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工程</w:t>
            </w:r>
          </w:p>
        </w:tc>
        <w:tc>
          <w:tcPr>
            <w:tcW w:w="720" w:type="dxa"/>
            <w:vAlign w:val="center"/>
          </w:tcPr>
          <w:p w14:paraId="6F446CA5">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3A520C76">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51C6460F">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14:paraId="108058AB">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20000</w:t>
            </w:r>
            <w:r>
              <w:rPr>
                <w:rFonts w:hint="eastAsia" w:ascii="仿宋_GB2312" w:eastAsia="仿宋_GB2312"/>
                <w:color w:val="000000"/>
                <w:kern w:val="0"/>
                <w:szCs w:val="21"/>
              </w:rPr>
              <w:t>平方米，基建及设备购置（包含太和镇、沼山镇、梁子镇）。</w:t>
            </w:r>
          </w:p>
        </w:tc>
        <w:tc>
          <w:tcPr>
            <w:tcW w:w="1260" w:type="dxa"/>
            <w:vAlign w:val="center"/>
          </w:tcPr>
          <w:p w14:paraId="36EB017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14:paraId="26F028A9">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800</w:t>
            </w:r>
          </w:p>
        </w:tc>
      </w:tr>
      <w:tr w14:paraId="6FD4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14:paraId="6975A769">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16</w:t>
            </w:r>
          </w:p>
        </w:tc>
        <w:tc>
          <w:tcPr>
            <w:tcW w:w="1277" w:type="dxa"/>
            <w:vAlign w:val="center"/>
          </w:tcPr>
          <w:p w14:paraId="7F8CE631">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鄂州市烈士陵园</w:t>
            </w:r>
          </w:p>
        </w:tc>
        <w:tc>
          <w:tcPr>
            <w:tcW w:w="720" w:type="dxa"/>
            <w:vAlign w:val="center"/>
          </w:tcPr>
          <w:p w14:paraId="336DCC2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14:paraId="014C9C0B">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14:paraId="53222030">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14:paraId="28C7CF53">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10400</w:t>
            </w:r>
            <w:r>
              <w:rPr>
                <w:rFonts w:hint="eastAsia" w:ascii="仿宋_GB2312" w:eastAsia="仿宋_GB2312"/>
                <w:color w:val="000000"/>
                <w:kern w:val="0"/>
                <w:szCs w:val="21"/>
              </w:rPr>
              <w:t>平方米，主要建设内容：（</w:t>
            </w:r>
            <w:r>
              <w:rPr>
                <w:rFonts w:ascii="仿宋_GB2312" w:eastAsia="仿宋_GB2312"/>
                <w:color w:val="000000"/>
                <w:kern w:val="0"/>
                <w:szCs w:val="21"/>
              </w:rPr>
              <w:t>1</w:t>
            </w:r>
            <w:r>
              <w:rPr>
                <w:rFonts w:hint="eastAsia" w:ascii="仿宋_GB2312" w:eastAsia="仿宋_GB2312"/>
                <w:color w:val="000000"/>
                <w:kern w:val="0"/>
                <w:szCs w:val="21"/>
              </w:rPr>
              <w:t>）红色教育基地场馆（</w:t>
            </w:r>
            <w:r>
              <w:rPr>
                <w:rFonts w:ascii="仿宋_GB2312" w:eastAsia="仿宋_GB2312"/>
                <w:color w:val="000000"/>
                <w:kern w:val="0"/>
                <w:szCs w:val="21"/>
              </w:rPr>
              <w:t>2</w:t>
            </w:r>
            <w:r>
              <w:rPr>
                <w:rFonts w:hint="eastAsia" w:ascii="仿宋_GB2312" w:eastAsia="仿宋_GB2312"/>
                <w:color w:val="000000"/>
                <w:kern w:val="0"/>
                <w:szCs w:val="21"/>
              </w:rPr>
              <w:t>）革命历史展陈馆（</w:t>
            </w:r>
            <w:r>
              <w:rPr>
                <w:rFonts w:ascii="仿宋_GB2312" w:eastAsia="仿宋_GB2312"/>
                <w:color w:val="000000"/>
                <w:kern w:val="0"/>
                <w:szCs w:val="21"/>
              </w:rPr>
              <w:t>3</w:t>
            </w:r>
            <w:r>
              <w:rPr>
                <w:rFonts w:hint="eastAsia" w:ascii="仿宋_GB2312" w:eastAsia="仿宋_GB2312"/>
                <w:color w:val="000000"/>
                <w:kern w:val="0"/>
                <w:szCs w:val="21"/>
              </w:rPr>
              <w:t>）烈士纪念堂（</w:t>
            </w:r>
            <w:r>
              <w:rPr>
                <w:rFonts w:ascii="仿宋_GB2312" w:eastAsia="仿宋_GB2312"/>
                <w:color w:val="000000"/>
                <w:kern w:val="0"/>
                <w:szCs w:val="21"/>
              </w:rPr>
              <w:t>4</w:t>
            </w:r>
            <w:r>
              <w:rPr>
                <w:rFonts w:hint="eastAsia" w:ascii="仿宋_GB2312" w:eastAsia="仿宋_GB2312"/>
                <w:color w:val="000000"/>
                <w:kern w:val="0"/>
                <w:szCs w:val="21"/>
              </w:rPr>
              <w:t>）烈士陵园、军人墓园、烈士纪念墙及门房、厕所等配套设施。</w:t>
            </w:r>
          </w:p>
        </w:tc>
        <w:tc>
          <w:tcPr>
            <w:tcW w:w="1260" w:type="dxa"/>
            <w:vAlign w:val="center"/>
          </w:tcPr>
          <w:p w14:paraId="26E5BF18">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14:paraId="6BE207C7">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10800</w:t>
            </w:r>
          </w:p>
        </w:tc>
      </w:tr>
    </w:tbl>
    <w:p w14:paraId="62E5E6B2">
      <w:pPr>
        <w:spacing w:line="580" w:lineRule="exact"/>
        <w:ind w:firstLine="640" w:firstLineChars="200"/>
        <w:rPr>
          <w:rFonts w:ascii="仿宋_GB2312" w:eastAsia="仿宋_GB2312" w:cs="仿宋_GB2312"/>
          <w:color w:val="000000"/>
          <w:kern w:val="0"/>
          <w:sz w:val="32"/>
          <w:szCs w:val="32"/>
        </w:rPr>
      </w:pPr>
    </w:p>
    <w:p w14:paraId="320FA6A2"/>
    <w:p w14:paraId="113156F3"/>
    <w:sectPr>
      <w:footerReference r:id="rId11" w:type="default"/>
      <w:footerReference r:id="rId12"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
    <w:altName w:val="DejaVu Math TeX Gyre"/>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00000000000000000"/>
    <w:charset w:val="86"/>
    <w:family w:val="script"/>
    <w:pitch w:val="default"/>
    <w:sig w:usb0="00000000" w:usb1="00000000" w:usb2="00000012" w:usb3="00000000" w:csb0="00040001" w:csb1="00000000"/>
  </w:font>
  <w:font w:name="方正隶书_GBK">
    <w:altName w:val="隶书"/>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076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852B1">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4A598">
    <w:pPr>
      <w:pStyle w:val="9"/>
      <w:framePr w:wrap="around" w:vAnchor="text" w:hAnchor="margin" w:xAlign="center" w:y="1"/>
      <w:rPr>
        <w:rStyle w:val="17"/>
        <w:sz w:val="24"/>
        <w:szCs w:val="24"/>
      </w:rPr>
    </w:pPr>
    <w:r>
      <w:rPr>
        <w:rStyle w:val="17"/>
        <w:sz w:val="24"/>
        <w:szCs w:val="24"/>
      </w:rPr>
      <w:fldChar w:fldCharType="begin"/>
    </w:r>
    <w:r>
      <w:rPr>
        <w:rStyle w:val="17"/>
        <w:sz w:val="24"/>
        <w:szCs w:val="24"/>
      </w:rPr>
      <w:instrText xml:space="preserve">PAGE  </w:instrText>
    </w:r>
    <w:r>
      <w:rPr>
        <w:rStyle w:val="17"/>
        <w:sz w:val="24"/>
        <w:szCs w:val="24"/>
      </w:rPr>
      <w:fldChar w:fldCharType="separate"/>
    </w:r>
    <w:r>
      <w:rPr>
        <w:rStyle w:val="17"/>
        <w:sz w:val="24"/>
        <w:szCs w:val="24"/>
      </w:rPr>
      <w:t>24</w:t>
    </w:r>
    <w:r>
      <w:rPr>
        <w:rStyle w:val="17"/>
        <w:sz w:val="24"/>
        <w:szCs w:val="24"/>
      </w:rPr>
      <w:fldChar w:fldCharType="end"/>
    </w:r>
  </w:p>
  <w:p w14:paraId="5C6AB634">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725EE">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1BEF7">
    <w:pPr>
      <w:pStyle w:val="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14F96">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IV</w:t>
    </w:r>
    <w:r>
      <w:rPr>
        <w:rStyle w:val="17"/>
      </w:rPr>
      <w:fldChar w:fldCharType="end"/>
    </w:r>
  </w:p>
  <w:p w14:paraId="361DFC0C">
    <w:pPr>
      <w:pStyle w:val="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C971">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95</w:t>
    </w:r>
    <w:r>
      <w:rPr>
        <w:rStyle w:val="17"/>
      </w:rPr>
      <w:fldChar w:fldCharType="end"/>
    </w:r>
  </w:p>
  <w:p w14:paraId="71E83ADD">
    <w:pPr>
      <w:pStyle w:val="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7BA0">
    <w:pPr>
      <w:pStyle w:val="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0D58A">
    <w:pPr>
      <w:pStyle w:val="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CFA0">
    <w:pPr>
      <w:pStyle w:val="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3827D3"/>
    <w:multiLevelType w:val="singleLevel"/>
    <w:tmpl w:val="423827D3"/>
    <w:lvl w:ilvl="0" w:tentative="0">
      <w:start w:val="2"/>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19"/>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ThkZGE4MDMyZGRhOGFlZjViOWQ0Y2I1OTdlZjNjMzkifQ=="/>
  </w:docVars>
  <w:rsids>
    <w:rsidRoot w:val="5CFF7786"/>
    <w:rsid w:val="00041706"/>
    <w:rsid w:val="0006370D"/>
    <w:rsid w:val="00067E7D"/>
    <w:rsid w:val="000839EF"/>
    <w:rsid w:val="00095878"/>
    <w:rsid w:val="00106175"/>
    <w:rsid w:val="001229CA"/>
    <w:rsid w:val="00125735"/>
    <w:rsid w:val="00171FCE"/>
    <w:rsid w:val="00196BCC"/>
    <w:rsid w:val="001C1E78"/>
    <w:rsid w:val="001C681A"/>
    <w:rsid w:val="001E15CD"/>
    <w:rsid w:val="001F0296"/>
    <w:rsid w:val="0024104D"/>
    <w:rsid w:val="00291B32"/>
    <w:rsid w:val="002B6198"/>
    <w:rsid w:val="002F2ED4"/>
    <w:rsid w:val="00313E98"/>
    <w:rsid w:val="0031649B"/>
    <w:rsid w:val="003463F0"/>
    <w:rsid w:val="003B3CE3"/>
    <w:rsid w:val="0041704C"/>
    <w:rsid w:val="00422020"/>
    <w:rsid w:val="004452FC"/>
    <w:rsid w:val="00462A3E"/>
    <w:rsid w:val="0047020D"/>
    <w:rsid w:val="004827B9"/>
    <w:rsid w:val="004930EC"/>
    <w:rsid w:val="004A74B0"/>
    <w:rsid w:val="004F1466"/>
    <w:rsid w:val="005130FF"/>
    <w:rsid w:val="00524CC1"/>
    <w:rsid w:val="00554ADC"/>
    <w:rsid w:val="00574591"/>
    <w:rsid w:val="005905CD"/>
    <w:rsid w:val="005D5480"/>
    <w:rsid w:val="005E35B0"/>
    <w:rsid w:val="006107E4"/>
    <w:rsid w:val="00666124"/>
    <w:rsid w:val="006A2B9C"/>
    <w:rsid w:val="006B50AF"/>
    <w:rsid w:val="006C16ED"/>
    <w:rsid w:val="0071171D"/>
    <w:rsid w:val="00753CBF"/>
    <w:rsid w:val="00773258"/>
    <w:rsid w:val="00777A58"/>
    <w:rsid w:val="00784712"/>
    <w:rsid w:val="007B09AE"/>
    <w:rsid w:val="007B5EC3"/>
    <w:rsid w:val="007E2B53"/>
    <w:rsid w:val="007F3297"/>
    <w:rsid w:val="008144F4"/>
    <w:rsid w:val="00820DD4"/>
    <w:rsid w:val="00843E25"/>
    <w:rsid w:val="008624E5"/>
    <w:rsid w:val="0088094C"/>
    <w:rsid w:val="008B46B1"/>
    <w:rsid w:val="009010B9"/>
    <w:rsid w:val="00903F9F"/>
    <w:rsid w:val="00927482"/>
    <w:rsid w:val="00934B59"/>
    <w:rsid w:val="00965C74"/>
    <w:rsid w:val="009676A4"/>
    <w:rsid w:val="00977839"/>
    <w:rsid w:val="0098776F"/>
    <w:rsid w:val="009B3C62"/>
    <w:rsid w:val="00A11653"/>
    <w:rsid w:val="00A34644"/>
    <w:rsid w:val="00A50951"/>
    <w:rsid w:val="00A52692"/>
    <w:rsid w:val="00A807F7"/>
    <w:rsid w:val="00A86B2F"/>
    <w:rsid w:val="00AB4B40"/>
    <w:rsid w:val="00AC1E43"/>
    <w:rsid w:val="00AD2D55"/>
    <w:rsid w:val="00AE3777"/>
    <w:rsid w:val="00B17C05"/>
    <w:rsid w:val="00B259EE"/>
    <w:rsid w:val="00B459F1"/>
    <w:rsid w:val="00B62BB0"/>
    <w:rsid w:val="00B86600"/>
    <w:rsid w:val="00BA18B2"/>
    <w:rsid w:val="00BB4D46"/>
    <w:rsid w:val="00BE20D3"/>
    <w:rsid w:val="00BE2A84"/>
    <w:rsid w:val="00BF3938"/>
    <w:rsid w:val="00C003B8"/>
    <w:rsid w:val="00C01707"/>
    <w:rsid w:val="00C03E8F"/>
    <w:rsid w:val="00C113C2"/>
    <w:rsid w:val="00C41B45"/>
    <w:rsid w:val="00CA19EC"/>
    <w:rsid w:val="00CD7B70"/>
    <w:rsid w:val="00CE53F8"/>
    <w:rsid w:val="00D43F96"/>
    <w:rsid w:val="00D5063F"/>
    <w:rsid w:val="00D56098"/>
    <w:rsid w:val="00DF01C4"/>
    <w:rsid w:val="00DF6295"/>
    <w:rsid w:val="00E11509"/>
    <w:rsid w:val="00E2034F"/>
    <w:rsid w:val="00E7557E"/>
    <w:rsid w:val="00EB4BC5"/>
    <w:rsid w:val="00EF1E3F"/>
    <w:rsid w:val="00F04CC0"/>
    <w:rsid w:val="00F75814"/>
    <w:rsid w:val="00F96F23"/>
    <w:rsid w:val="00FB5A94"/>
    <w:rsid w:val="00FE1ECF"/>
    <w:rsid w:val="01AD761A"/>
    <w:rsid w:val="01CC7C92"/>
    <w:rsid w:val="03126840"/>
    <w:rsid w:val="0392531E"/>
    <w:rsid w:val="03A66C44"/>
    <w:rsid w:val="045B6768"/>
    <w:rsid w:val="05E4175A"/>
    <w:rsid w:val="070477D8"/>
    <w:rsid w:val="076517F2"/>
    <w:rsid w:val="08467F84"/>
    <w:rsid w:val="084D5A51"/>
    <w:rsid w:val="08CA79D1"/>
    <w:rsid w:val="08DD6E9F"/>
    <w:rsid w:val="0AB00EA5"/>
    <w:rsid w:val="0B6948DF"/>
    <w:rsid w:val="0C4C3EA9"/>
    <w:rsid w:val="0D210F68"/>
    <w:rsid w:val="0D447380"/>
    <w:rsid w:val="0F371F3D"/>
    <w:rsid w:val="0FDA3056"/>
    <w:rsid w:val="11C86ABC"/>
    <w:rsid w:val="12967D7D"/>
    <w:rsid w:val="157947DD"/>
    <w:rsid w:val="159D5775"/>
    <w:rsid w:val="15E44423"/>
    <w:rsid w:val="17412671"/>
    <w:rsid w:val="17B260B5"/>
    <w:rsid w:val="1901601B"/>
    <w:rsid w:val="1A782B91"/>
    <w:rsid w:val="1A8962C8"/>
    <w:rsid w:val="1A9C7719"/>
    <w:rsid w:val="1C3D43D1"/>
    <w:rsid w:val="1CFE5646"/>
    <w:rsid w:val="1DF20628"/>
    <w:rsid w:val="1E2244BE"/>
    <w:rsid w:val="1FB44DA2"/>
    <w:rsid w:val="20EE33F0"/>
    <w:rsid w:val="22B21CF4"/>
    <w:rsid w:val="23201794"/>
    <w:rsid w:val="24376272"/>
    <w:rsid w:val="248C41C4"/>
    <w:rsid w:val="25C96113"/>
    <w:rsid w:val="26741477"/>
    <w:rsid w:val="276D0AA4"/>
    <w:rsid w:val="28670C79"/>
    <w:rsid w:val="2B3C364E"/>
    <w:rsid w:val="2BD33847"/>
    <w:rsid w:val="2C364183"/>
    <w:rsid w:val="2C804394"/>
    <w:rsid w:val="2D8867FD"/>
    <w:rsid w:val="2E0F2B31"/>
    <w:rsid w:val="314D1478"/>
    <w:rsid w:val="32367157"/>
    <w:rsid w:val="327B2096"/>
    <w:rsid w:val="342D3D10"/>
    <w:rsid w:val="360630D0"/>
    <w:rsid w:val="36A4195A"/>
    <w:rsid w:val="387778EB"/>
    <w:rsid w:val="38E34CB7"/>
    <w:rsid w:val="397F500E"/>
    <w:rsid w:val="3A227781"/>
    <w:rsid w:val="3B4E14F1"/>
    <w:rsid w:val="3B53649C"/>
    <w:rsid w:val="3C12795D"/>
    <w:rsid w:val="3C5A46BD"/>
    <w:rsid w:val="3CB340A9"/>
    <w:rsid w:val="3CF505B5"/>
    <w:rsid w:val="3CFB085C"/>
    <w:rsid w:val="3D9F986B"/>
    <w:rsid w:val="3DE11078"/>
    <w:rsid w:val="3F7D5192"/>
    <w:rsid w:val="41145A0E"/>
    <w:rsid w:val="41CE2C59"/>
    <w:rsid w:val="426042E3"/>
    <w:rsid w:val="43C753F0"/>
    <w:rsid w:val="44A95948"/>
    <w:rsid w:val="462C5FB2"/>
    <w:rsid w:val="474F7B52"/>
    <w:rsid w:val="48B645DB"/>
    <w:rsid w:val="490F36FA"/>
    <w:rsid w:val="492B03C7"/>
    <w:rsid w:val="49517363"/>
    <w:rsid w:val="49C81B06"/>
    <w:rsid w:val="4B3C4B50"/>
    <w:rsid w:val="4E7B60AA"/>
    <w:rsid w:val="4F840F88"/>
    <w:rsid w:val="4FB124BF"/>
    <w:rsid w:val="50905620"/>
    <w:rsid w:val="512B446A"/>
    <w:rsid w:val="51D469F5"/>
    <w:rsid w:val="52FF7B60"/>
    <w:rsid w:val="53D925DD"/>
    <w:rsid w:val="55F55EBC"/>
    <w:rsid w:val="56156687"/>
    <w:rsid w:val="563A47A1"/>
    <w:rsid w:val="5676126D"/>
    <w:rsid w:val="56981066"/>
    <w:rsid w:val="56F2514B"/>
    <w:rsid w:val="577743AB"/>
    <w:rsid w:val="57777C07"/>
    <w:rsid w:val="5B7219CF"/>
    <w:rsid w:val="5B97061F"/>
    <w:rsid w:val="5BB42718"/>
    <w:rsid w:val="5BC1523B"/>
    <w:rsid w:val="5C6810C9"/>
    <w:rsid w:val="5C816991"/>
    <w:rsid w:val="5CAC1EF6"/>
    <w:rsid w:val="5CFB7CF0"/>
    <w:rsid w:val="5CFF7786"/>
    <w:rsid w:val="5DDF3DB1"/>
    <w:rsid w:val="5F45894D"/>
    <w:rsid w:val="5FFFF45A"/>
    <w:rsid w:val="60996106"/>
    <w:rsid w:val="61D23DEE"/>
    <w:rsid w:val="62BC2C5F"/>
    <w:rsid w:val="62F3DE81"/>
    <w:rsid w:val="63020863"/>
    <w:rsid w:val="63D367EE"/>
    <w:rsid w:val="64A54793"/>
    <w:rsid w:val="64B84491"/>
    <w:rsid w:val="6516466E"/>
    <w:rsid w:val="655C6080"/>
    <w:rsid w:val="66FD119D"/>
    <w:rsid w:val="672E5653"/>
    <w:rsid w:val="677A18A0"/>
    <w:rsid w:val="67BD7683"/>
    <w:rsid w:val="691323C1"/>
    <w:rsid w:val="69605A13"/>
    <w:rsid w:val="6DDB1DA5"/>
    <w:rsid w:val="6E606731"/>
    <w:rsid w:val="70DC0075"/>
    <w:rsid w:val="71940950"/>
    <w:rsid w:val="740B2A1F"/>
    <w:rsid w:val="7478644F"/>
    <w:rsid w:val="748C0004"/>
    <w:rsid w:val="74AA048A"/>
    <w:rsid w:val="757F4F99"/>
    <w:rsid w:val="77B60A5E"/>
    <w:rsid w:val="77DD945E"/>
    <w:rsid w:val="782E3BAA"/>
    <w:rsid w:val="79A67472"/>
    <w:rsid w:val="7BC2255D"/>
    <w:rsid w:val="7C225AEA"/>
    <w:rsid w:val="7C5A42B0"/>
    <w:rsid w:val="7D62227B"/>
    <w:rsid w:val="7D991665"/>
    <w:rsid w:val="7DB6FF79"/>
    <w:rsid w:val="7DDD5E0A"/>
    <w:rsid w:val="7DE84DB3"/>
    <w:rsid w:val="7E892207"/>
    <w:rsid w:val="7F0013D2"/>
    <w:rsid w:val="7F7229C6"/>
    <w:rsid w:val="7FF7C723"/>
    <w:rsid w:val="8FAE20C9"/>
    <w:rsid w:val="AB4FF971"/>
    <w:rsid w:val="B51E186B"/>
    <w:rsid w:val="BFEF71AB"/>
    <w:rsid w:val="D6DBAD67"/>
    <w:rsid w:val="E933322A"/>
    <w:rsid w:val="F53E8239"/>
    <w:rsid w:val="F5E93C03"/>
    <w:rsid w:val="F5FDAC13"/>
    <w:rsid w:val="F73BCEAE"/>
    <w:rsid w:val="FBAF97E8"/>
    <w:rsid w:val="FE4FA8D9"/>
    <w:rsid w:val="FF7D7DF2"/>
    <w:rsid w:val="FFFD0E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3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9"/>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0"/>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1"/>
    <w:qFormat/>
    <w:uiPriority w:val="99"/>
    <w:pPr>
      <w:keepNext/>
      <w:keepLines/>
      <w:spacing w:before="260" w:after="260" w:line="416" w:lineRule="auto"/>
      <w:outlineLvl w:val="2"/>
    </w:pPr>
    <w:rPr>
      <w:b/>
      <w:bCs/>
      <w:sz w:val="32"/>
      <w:szCs w:val="32"/>
    </w:rPr>
  </w:style>
  <w:style w:type="character" w:default="1" w:styleId="15">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3"/>
    <w:qFormat/>
    <w:uiPriority w:val="99"/>
    <w:pPr>
      <w:ind w:firstLine="420" w:firstLineChars="200"/>
    </w:pPr>
    <w:rPr>
      <w:rFonts w:ascii="Calibri" w:hAnsi="Calibri"/>
    </w:rPr>
  </w:style>
  <w:style w:type="paragraph" w:styleId="3">
    <w:name w:val="Body Text Indent"/>
    <w:basedOn w:val="1"/>
    <w:next w:val="2"/>
    <w:link w:val="22"/>
    <w:qFormat/>
    <w:uiPriority w:val="99"/>
    <w:pPr>
      <w:spacing w:after="120"/>
      <w:ind w:left="420" w:leftChars="200"/>
    </w:pPr>
  </w:style>
  <w:style w:type="paragraph" w:styleId="7">
    <w:name w:val="Document Map"/>
    <w:basedOn w:val="1"/>
    <w:link w:val="24"/>
    <w:semiHidden/>
    <w:qFormat/>
    <w:uiPriority w:val="99"/>
    <w:pPr>
      <w:shd w:val="clear" w:color="auto" w:fill="000080"/>
    </w:pPr>
  </w:style>
  <w:style w:type="paragraph" w:styleId="8">
    <w:name w:val="toc 3"/>
    <w:basedOn w:val="1"/>
    <w:next w:val="1"/>
    <w:semiHidden/>
    <w:qFormat/>
    <w:uiPriority w:val="99"/>
    <w:pPr>
      <w:tabs>
        <w:tab w:val="right" w:leader="dot" w:pos="8296"/>
      </w:tabs>
      <w:spacing w:line="400" w:lineRule="exact"/>
      <w:ind w:left="840" w:leftChars="400"/>
    </w:p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tabs>
        <w:tab w:val="left" w:pos="989"/>
        <w:tab w:val="right" w:leader="dot" w:pos="8493"/>
      </w:tabs>
      <w:spacing w:before="120" w:after="120"/>
      <w:jc w:val="left"/>
    </w:pPr>
    <w:rPr>
      <w:rFonts w:ascii="黑体" w:eastAsia="仿宋_GB2312"/>
      <w:b/>
      <w:bCs/>
      <w:caps/>
      <w:sz w:val="32"/>
      <w:szCs w:val="28"/>
    </w:rPr>
  </w:style>
  <w:style w:type="paragraph" w:styleId="12">
    <w:name w:val="toc 2"/>
    <w:basedOn w:val="1"/>
    <w:next w:val="1"/>
    <w:semiHidden/>
    <w:qFormat/>
    <w:uiPriority w:val="99"/>
    <w:pPr>
      <w:tabs>
        <w:tab w:val="right" w:leader="dot" w:pos="8296"/>
      </w:tabs>
      <w:spacing w:line="420" w:lineRule="exact"/>
      <w:ind w:left="420" w:leftChars="200"/>
    </w:pPr>
    <w:rPr>
      <w:rFonts w:ascii="楷体_GB2312" w:eastAsia="楷体_GB2312"/>
      <w:sz w:val="28"/>
      <w:szCs w:val="2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Strong"/>
    <w:basedOn w:val="15"/>
    <w:qFormat/>
    <w:uiPriority w:val="99"/>
    <w:rPr>
      <w:rFonts w:cs="Times New Roman"/>
      <w:b/>
    </w:rPr>
  </w:style>
  <w:style w:type="character" w:styleId="17">
    <w:name w:val="page number"/>
    <w:basedOn w:val="15"/>
    <w:qFormat/>
    <w:uiPriority w:val="99"/>
    <w:rPr>
      <w:rFonts w:cs="Times New Roman"/>
    </w:rPr>
  </w:style>
  <w:style w:type="character" w:styleId="18">
    <w:name w:val="Hyperlink"/>
    <w:basedOn w:val="15"/>
    <w:qFormat/>
    <w:uiPriority w:val="99"/>
    <w:rPr>
      <w:rFonts w:cs="Times New Roman"/>
      <w:color w:val="0000FF"/>
      <w:u w:val="single"/>
    </w:rPr>
  </w:style>
  <w:style w:type="character" w:customStyle="1" w:styleId="19">
    <w:name w:val="标题 1 字符"/>
    <w:basedOn w:val="15"/>
    <w:link w:val="4"/>
    <w:qFormat/>
    <w:locked/>
    <w:uiPriority w:val="99"/>
    <w:rPr>
      <w:b/>
      <w:kern w:val="44"/>
      <w:sz w:val="44"/>
    </w:rPr>
  </w:style>
  <w:style w:type="character" w:customStyle="1" w:styleId="20">
    <w:name w:val="标题 2 字符"/>
    <w:basedOn w:val="15"/>
    <w:link w:val="5"/>
    <w:semiHidden/>
    <w:qFormat/>
    <w:locked/>
    <w:uiPriority w:val="99"/>
    <w:rPr>
      <w:rFonts w:ascii="等线 Light" w:hAnsi="等线 Light" w:eastAsia="等线 Light"/>
      <w:b/>
      <w:sz w:val="32"/>
    </w:rPr>
  </w:style>
  <w:style w:type="character" w:customStyle="1" w:styleId="21">
    <w:name w:val="标题 3 字符"/>
    <w:basedOn w:val="15"/>
    <w:link w:val="6"/>
    <w:semiHidden/>
    <w:qFormat/>
    <w:locked/>
    <w:uiPriority w:val="99"/>
    <w:rPr>
      <w:b/>
      <w:sz w:val="32"/>
    </w:rPr>
  </w:style>
  <w:style w:type="character" w:customStyle="1" w:styleId="22">
    <w:name w:val="正文文本缩进 字符"/>
    <w:basedOn w:val="15"/>
    <w:link w:val="3"/>
    <w:semiHidden/>
    <w:qFormat/>
    <w:locked/>
    <w:uiPriority w:val="99"/>
    <w:rPr>
      <w:sz w:val="24"/>
    </w:rPr>
  </w:style>
  <w:style w:type="character" w:customStyle="1" w:styleId="23">
    <w:name w:val="正文文本首行缩进 2 字符"/>
    <w:basedOn w:val="22"/>
    <w:link w:val="2"/>
    <w:semiHidden/>
    <w:qFormat/>
    <w:locked/>
    <w:uiPriority w:val="99"/>
    <w:rPr>
      <w:sz w:val="24"/>
    </w:rPr>
  </w:style>
  <w:style w:type="character" w:customStyle="1" w:styleId="24">
    <w:name w:val="文档结构图 字符"/>
    <w:basedOn w:val="15"/>
    <w:link w:val="7"/>
    <w:semiHidden/>
    <w:qFormat/>
    <w:locked/>
    <w:uiPriority w:val="99"/>
    <w:rPr>
      <w:rFonts w:ascii="Microsoft YaHei UI" w:eastAsia="Microsoft YaHei UI"/>
      <w:sz w:val="18"/>
    </w:rPr>
  </w:style>
  <w:style w:type="character" w:customStyle="1" w:styleId="25">
    <w:name w:val="页脚 字符"/>
    <w:basedOn w:val="15"/>
    <w:link w:val="9"/>
    <w:semiHidden/>
    <w:qFormat/>
    <w:locked/>
    <w:uiPriority w:val="99"/>
    <w:rPr>
      <w:sz w:val="18"/>
    </w:rPr>
  </w:style>
  <w:style w:type="character" w:customStyle="1" w:styleId="26">
    <w:name w:val="页眉 字符"/>
    <w:basedOn w:val="15"/>
    <w:link w:val="10"/>
    <w:semiHidden/>
    <w:qFormat/>
    <w:locked/>
    <w:uiPriority w:val="99"/>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60370</Words>
  <Characters>61951</Characters>
  <Lines>489</Lines>
  <Paragraphs>137</Paragraphs>
  <TotalTime>8</TotalTime>
  <ScaleCrop>false</ScaleCrop>
  <LinksUpToDate>false</LinksUpToDate>
  <CharactersWithSpaces>62164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2022-09-01T08:40:00Z</dcterms:created>
  <dc:creator>吴哥窟</dc:creator>
  <cp:lastModifiedBy>430小中中</cp:lastModifiedBy>
  <cp:lastPrinted>2022-10-31T23:17:00Z</cp:lastPrinted>
  <dcterms:modified xsi:type="dcterms:W3CDTF">2025-06-06T00:57:19Z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AD36DAAD35D44333A0EB2DB23F15B53A</vt:lpwstr>
  </property>
</Properties>
</file>