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227"/>
        <w:gridCol w:w="843"/>
        <w:gridCol w:w="82"/>
        <w:gridCol w:w="1192"/>
        <w:gridCol w:w="236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市体校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青少年公益冬夏令营</w:t>
            </w:r>
            <w:bookmarkEnd w:id="0"/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常年性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鄂州市体育赛事及活动设置指导目录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通过冬夏令营活动，发现储备青少年竞技体育后备人才，为省运会打下坚实基础。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丰富广大青少年的暑期生活，锻炼体质，培养兴趣，提高运动项目的基本技能，为省十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七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运周期培养更多优秀的运动苗子。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参加活动人数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600人左右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参加冬夏令营人数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质量达标率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≥80%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运动员水平提高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活动保障工作及时率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根据项目活动时间给予评分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资金使用率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根据活动时间按时完成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培养优秀体育后备人才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提升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没有对自然环境造成影响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运动员、教练员满意度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028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28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参加活动人数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600人左右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质量达标率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≥80%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活动保障工作及时率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培养优秀体育后备人才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提升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没有对自然环境造成影响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运动员技术水平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提高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运动员、教练员满意度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25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2ABE2E44"/>
    <w:rsid w:val="62E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dcterms:modified xsi:type="dcterms:W3CDTF">2023-11-09T09:06:45Z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58246E038A894A6580A1DBF854195D43_11</vt:lpwstr>
  </property>
</Properties>
</file>