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92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298"/>
        <w:gridCol w:w="772"/>
        <w:gridCol w:w="82"/>
        <w:gridCol w:w="1094"/>
        <w:gridCol w:w="334"/>
        <w:gridCol w:w="747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市体校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5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承办及参加省级以上青少年体育赛事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持续性项目</w:t>
            </w:r>
            <w:bookmarkStart w:id="0" w:name="_GoBack"/>
            <w:bookmarkEnd w:id="0"/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804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湖北省体育局、湖北省教育厅关于印发湖北省青少年儿童体育竞赛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计划和竞赛规程的通知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804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75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548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54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通过比赛检验训练成果，发现培养优秀的青少年体育后备人才，为省十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七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运会打下坚实基础。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54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54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培养输送优秀体育后备人才，完成年度比赛和省十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七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运会争金夺银任务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54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75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比赛任务完成率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根据省比赛规定时间按时完成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比赛计划完成及时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运动员保障工作及时率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资金使用率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根据省比赛规定时间按时完成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促进竞技水平提高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通过举办比赛对竞技水平提高的促进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程度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促进青少年体育事业可持续发展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对体育事业可持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续发展的影响情况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没有对自然环境造成影响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环境破坏投诉为零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运动员、教练员满意度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100%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参赛保障工作完成及时率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75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099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0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2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参加比赛人数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≥200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≥200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230人左右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省年度竞赛规程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获奖人数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≥50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≥50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省年度竞赛规程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比赛计划完成及时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根据省比赛规定时间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运动员保障工作及时率　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根据省比赛规定时间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资金使用率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根据省比赛规定时间按时完成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激励运动员刻苦训练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通过举办比赛对竞技水平提高的促进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提高竞技水平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身体素质、专项技术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没有对自然环境造成影响　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环境破坏投诉为零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环境破坏投诉为零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环境破坏投诉为零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促进青少年体育事业可持续发展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运动员、教练员满意度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90%以上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90%以上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90%以上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参赛保障工作完成及时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4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641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41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41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03792E42"/>
    <w:rsid w:val="1AB03212"/>
    <w:rsid w:val="443803E7"/>
    <w:rsid w:val="62E502C3"/>
    <w:rsid w:val="795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2023-11-09T09:12:55Z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58246E038A894A6580A1DBF854195D43_11</vt:lpwstr>
  </property>
</Properties>
</file>