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highlight w:val="none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color w:val="auto"/>
          <w:sz w:val="40"/>
          <w:szCs w:val="40"/>
          <w:highlight w:val="none"/>
        </w:rPr>
      </w:pPr>
      <w:r>
        <w:rPr>
          <w:rFonts w:hint="eastAsia" w:ascii="方正小标宋简体" w:hAnsi="Times New Roman" w:eastAsia="方正小标宋简体" w:cs="Times New Roman"/>
          <w:color w:val="auto"/>
          <w:sz w:val="40"/>
          <w:szCs w:val="40"/>
          <w:highlight w:val="none"/>
        </w:rPr>
        <w:t>部门整体绩效目标表</w:t>
      </w:r>
    </w:p>
    <w:p>
      <w:pPr>
        <w:widowControl/>
        <w:spacing w:before="156" w:beforeLines="50"/>
        <w:jc w:val="right"/>
        <w:rPr>
          <w:rFonts w:ascii="楷体_GB2312" w:hAnsi="Times New Roman" w:eastAsia="楷体_GB2312" w:cs="Times New Roman"/>
          <w:color w:val="auto"/>
          <w:sz w:val="28"/>
          <w:szCs w:val="28"/>
          <w:highlight w:val="none"/>
        </w:rPr>
      </w:pPr>
      <w:r>
        <w:rPr>
          <w:rFonts w:hint="eastAsia" w:ascii="楷体_GB2312" w:hAnsi="Times New Roman" w:eastAsia="楷体_GB2312"/>
          <w:color w:val="auto"/>
          <w:sz w:val="28"/>
          <w:szCs w:val="28"/>
          <w:highlight w:val="none"/>
        </w:rPr>
        <w:t>单位：万元</w:t>
      </w:r>
    </w:p>
    <w:tbl>
      <w:tblPr>
        <w:tblStyle w:val="6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9"/>
        <w:gridCol w:w="794"/>
        <w:gridCol w:w="29"/>
        <w:gridCol w:w="1407"/>
        <w:gridCol w:w="91"/>
        <w:gridCol w:w="1096"/>
        <w:gridCol w:w="569"/>
        <w:gridCol w:w="361"/>
        <w:gridCol w:w="242"/>
        <w:gridCol w:w="147"/>
        <w:gridCol w:w="783"/>
        <w:gridCol w:w="29"/>
        <w:gridCol w:w="930"/>
        <w:gridCol w:w="24"/>
        <w:gridCol w:w="4"/>
        <w:gridCol w:w="643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部门（单位）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名称</w:t>
            </w:r>
          </w:p>
        </w:tc>
        <w:tc>
          <w:tcPr>
            <w:tcW w:w="791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鄂州市文化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填报人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何爽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联系电话</w:t>
            </w:r>
          </w:p>
        </w:tc>
        <w:tc>
          <w:tcPr>
            <w:tcW w:w="44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02753083606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部门总体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资金情况</w:t>
            </w:r>
          </w:p>
        </w:tc>
        <w:tc>
          <w:tcPr>
            <w:tcW w:w="3417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总体资金情况</w:t>
            </w:r>
          </w:p>
        </w:tc>
        <w:tc>
          <w:tcPr>
            <w:tcW w:w="1172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当年金额</w:t>
            </w:r>
          </w:p>
        </w:tc>
        <w:tc>
          <w:tcPr>
            <w:tcW w:w="959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占比</w:t>
            </w:r>
          </w:p>
        </w:tc>
        <w:tc>
          <w:tcPr>
            <w:tcW w:w="23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近两年收支金额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417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年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构成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财政拨款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14637.28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100%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9262.43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highlight w:val="none"/>
                <w:lang w:val="en-US" w:eastAsia="zh-CN"/>
              </w:rPr>
              <w:t>8554.13</w:t>
            </w:r>
            <w:r>
              <w:rPr>
                <w:rFonts w:hint="eastAsia" w:ascii="仿宋_GB2312" w:hAnsi="宋体" w:eastAsia="仿宋_GB2312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财政专户管理资金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单位资金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合  计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14637.28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100%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9262.43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highlight w:val="none"/>
                <w:lang w:val="en-US" w:eastAsia="zh-CN"/>
              </w:rPr>
              <w:t>8554.13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支出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构成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人员类项目支出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3319.47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22.68%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2660.65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highlight w:val="none"/>
                <w:lang w:val="en-US" w:eastAsia="zh-CN"/>
              </w:rPr>
              <w:t>2554.82</w:t>
            </w:r>
            <w:r>
              <w:rPr>
                <w:rFonts w:hint="eastAsia" w:ascii="仿宋_GB2312" w:hAnsi="宋体" w:eastAsia="仿宋_GB2312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运转类项目支出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383.81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2.62%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221.52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302.57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特定目标类项目支出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10934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74.7%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6380.26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5686.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合  计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14637.28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100%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9262.43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highlight w:val="none"/>
                <w:lang w:val="en-US" w:eastAsia="zh-CN"/>
              </w:rPr>
              <w:t>8554.13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部门职能概述</w:t>
            </w:r>
          </w:p>
        </w:tc>
        <w:tc>
          <w:tcPr>
            <w:tcW w:w="791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 xml:space="preserve">1.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</w:rPr>
              <w:t>贯彻落实党的文化工作方针政策，研究拟订文化和旅游、体育、广播电视政策措施，起草历史文化保护地方性法规、市政府规章草案。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</w:rPr>
              <w:t>2.统筹全市文化事业和文化产业相关领域及旅游业发展，拟订文化和旅游、体育、广播电视发展规划并组织实施，推进文化和旅游融合发展，推进文化和旅游体制机制改革。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</w:rPr>
              <w:t>3.指导、管理全市性重大文化和旅游活动，指导规范全市重点文化和旅游设施建设，组织全市文化和旅游整体形象宣传推广，促进文化产业和旅游产业对外合作和推广，制定旅游市场开发战略并组织实施，指导、推进全域旅游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</w:rPr>
              <w:t>4.管理全市文艺事业，指导全市艺术创作生产，扶持体现社会主义核心价值观、具有导向性代表性示范性的文艺作品，推动各门类艺术、各艺术品种发展。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</w:rPr>
              <w:t>5.负责全市公共文化事业发展，推进公共文化服务体系和旅游公共服务建设，深入实施文化和旅游惠民工程，统筹推进公共文化服务标准化、均等化。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</w:rPr>
              <w:t>6.指导、推进全市文化和旅游科技创新发展，推进文化和旅游行业信息化、标准化建设。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</w:rPr>
              <w:t>7.负责全市非物质文化遗产保护，拟订非物质文化遗产保护规划，推动非物质文化遗产的保护、传承、普及、弘扬和振兴。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</w:rPr>
              <w:t>8.指导、管理全市文物和博物馆事业，负责全市文物保护、抢救、发掘、研究和展示利用等工作。承担文物有关审核、审批、监管及相关资质管理。指导、协调重大文物保护和考古项目的组织实施。管理指导博物馆间的交流与协作。负责全市文物科技保护和科研工作，推动完善文物和博物馆公共服务体系与信息化建设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</w:rPr>
              <w:t>9.统筹规划全市文化产业和旅游产业，组织实施全市文化和旅游资源普查、挖掘、保护和利用工作，促进文化产业和旅游产业发展。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</w:rPr>
              <w:t>10.指导全市文化和旅游市场发展，对文化和旅游市场经营进行行业监管，牵头全行业安全生产工作。推进全市文化和旅游行业信用体系建设，依法规范文化和旅游市场。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</w:rPr>
              <w:t>11.统筹规划全市群众体育发展，负责推进全民健身计划的实施，监督实施国家体育锻炼标准，推动全市国民体质监测和社会体育指导工作队伍制度建设，指导公共体育设施的建设，负责对公共体育设施的监督管理。负责全市体育彩票销售的监督管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</w:rPr>
              <w:t>12.统筹规划全市竞技体育发展，研究体育运动项目的设置，指导协调体育训练和体育竞赛，指导和推进青少年体育工作。负责全市举办、承办的国际国内重大比赛的指导、组织和协调，指导参加省级以上综合性运动会的组织管理及统筹安排，指导、协调、监督全市性的体育竞赛工作。负责组织协调、监督全市体育运动中的反兴奋剂工作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</w:rPr>
              <w:t>13.负责全市广播电视行业监管。组织、指导和管理全市广播电视宣传及广播电视文艺作品的创作与生产，把握正确的创作导向和舆论导向。组织实施广播电视公共服务重大公益工程，指导、监督广播电视重点基础设施建设。负责对全市广播电视机构进行业务指导和行业监管，会同有关部门对网络视听节目服务机构进行管理。监管全市广播电视节目、信息网络视听节目和公共视听载体播放的视听节目，审查其内容和质量。负责全市广播电视节目传输覆盖、监测和安全播出监管。指导、推进应急广播体系建设。推进广电网与电信网、互联网三网融合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shd w:val="clear" w:color="auto" w:fill="FFFFFF"/>
              </w:rPr>
              <w:t>14.完成上级交办的其他任务。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年度工作任务</w:t>
            </w:r>
          </w:p>
        </w:tc>
        <w:tc>
          <w:tcPr>
            <w:tcW w:w="791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1.实施公共文化设施提升工程。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2.实施文化惠民工程。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3.实施文旅品牌打造工程。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4.实施文化遗产保护利用工程。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5.实施全民健身工程。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6.实施文艺精品创作工程。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7.实施城市形象宣传推广工程。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8.实施文旅行业监管工程。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u w:val="none"/>
              </w:rPr>
              <w:t>长期目标：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（截止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 年）</w:t>
            </w:r>
          </w:p>
        </w:tc>
        <w:tc>
          <w:tcPr>
            <w:tcW w:w="7943" w:type="dxa"/>
            <w:gridSpan w:val="1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统筹抓好文化事业、文化体育产业和旅游业发展，落实高质量发展总体要求，推动文化和旅游高水平融合。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长期绩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效指标</w:t>
            </w:r>
          </w:p>
        </w:tc>
        <w:tc>
          <w:tcPr>
            <w:tcW w:w="82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指标</w:t>
            </w: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二级指标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三级指标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指标值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指标值确定依据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指标分类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运行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成本</w:t>
            </w: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公用经费控制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公用经费控制率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比率≤100%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在职人员控制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人员控制率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比率≤100%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项目支出成本控制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会议费控制率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比率≤100%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“三公经费”变动率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比率≤100%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效率</w:t>
            </w: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战略管理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中长期规划相符性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基本相符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工作计划健全性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基本健全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预算编制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预算编制科学性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相对科学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预算编制合理性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基本合理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立项规范性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基本规范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预算调整率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比率≤10%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预算执行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预算执行率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比率≥80%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结转结余率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比率≤1%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政府采购执行率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比率≥90%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非税收入预算完成率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比率＝100%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绩效管理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事前绩效评估完成率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绩效目标合理性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基本合理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绩效监控开展率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绩效评价覆盖率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评价结果应用率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资产管理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资产管理制度健全性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基本健全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资产管理规范性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基本规范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财务管理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财务管理制度健全性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基本健全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会计核算规范性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基本规范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资金使用合规性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基本合规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履职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效能</w:t>
            </w: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核心业务产出1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旅游名镇、名村、名街创建数量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≥5个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核心业务产出2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旅游宣传推广活动次数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≥60次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行业培训人次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≥200人次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新打造与创建旅游品牌与精品示范单位个数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≥1个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文化交流活动次数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≥20次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新建和改扩建旅游厕所完工率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公益演出场次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≥360场次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基层公共文化服务体系建设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≥5个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公共场馆全年免费开放天数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≥300天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文旅产业课题研究成果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≥1项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文物考古勘探面积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≥15万平方米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修复文物数量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≥50件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公共场所全民健身器材覆盖率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≥100%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效应</w:t>
            </w: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经济效益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市内旅游人次增长率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≥30%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社会效益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休闲农业和乡村旅游接待人次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≥20000人次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生态效益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旅游环境提升率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≥30%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可持续发展能力</w:t>
            </w: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体制机制改革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服务体制改革成效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基本满意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行政管理体制改革成效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基本满意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人才支撑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业务学习与培训完成率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干部队伍体系建设规划情况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基本符合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高学历、高层次人才储备率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≥10%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科技支撑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信息化建设情况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基本健全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满意度</w:t>
            </w: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服务对象满意度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观众满意度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旅客游客满意度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联系部门满意度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社会公众满意度</w:t>
            </w: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98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9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u w:val="none"/>
              </w:rPr>
              <w:t>年度目标：</w:t>
            </w:r>
          </w:p>
        </w:tc>
        <w:tc>
          <w:tcPr>
            <w:tcW w:w="7943" w:type="dxa"/>
            <w:gridSpan w:val="1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  <w:t>负责全市公共文化事业发展，推进公共文化服务体系和旅游公共服务建设，深入实施文化和旅游惠民工程，统筹推进公共文化服务标准化、均等化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</w:rPr>
              <w:t>促进群众体育、竞技体育、体育产业、体育文化等各领域全面协调可持续发展，推进体育发展迈上新台阶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年度绩效指标</w:t>
            </w: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指标</w:t>
            </w: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二级指标</w:t>
            </w:r>
          </w:p>
        </w:tc>
        <w:tc>
          <w:tcPr>
            <w:tcW w:w="166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三级指标</w:t>
            </w:r>
          </w:p>
        </w:tc>
        <w:tc>
          <w:tcPr>
            <w:tcW w:w="361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131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指标值</w:t>
            </w:r>
          </w:p>
        </w:tc>
        <w:tc>
          <w:tcPr>
            <w:tcW w:w="671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指标值确定依据</w:t>
            </w:r>
          </w:p>
        </w:tc>
        <w:tc>
          <w:tcPr>
            <w:tcW w:w="76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指标分类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33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近两年指标值</w:t>
            </w:r>
          </w:p>
        </w:tc>
        <w:tc>
          <w:tcPr>
            <w:tcW w:w="9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预期当年实现值</w:t>
            </w:r>
          </w:p>
        </w:tc>
        <w:tc>
          <w:tcPr>
            <w:tcW w:w="671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 年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 年</w:t>
            </w:r>
          </w:p>
        </w:tc>
        <w:tc>
          <w:tcPr>
            <w:tcW w:w="959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71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运行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成本</w:t>
            </w: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公用经费控制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公用经费控制率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比率≤100%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比率≤100%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比率≤100%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在职人员控制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在职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人员控制率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比率≤100%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比率≤100%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比率≤100%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项目支出成本控制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会议费控制率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比率≤100%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比率≤100%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比率≤100%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“三公经费”变动率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比率≤100%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比率≤100%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比率≤100%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效率</w:t>
            </w: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战略管理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中长期规划相符性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基本相符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基本相符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基本相符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工作计划健全性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基本健全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基本健全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基本健全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预算编制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预算编制科学性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相对科学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相对科学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相对科学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预算编制合理性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基本合理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基本合理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基本合理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立项规范性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基本规范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基本规范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基本规范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预算调整率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比率≤10%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比率≤10%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比率≤10%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预算执行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预算执行率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比率≥80%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比率≥80%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比率≥80%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结转结余率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比率≤1%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比率≤1%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比率≤1%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政府采购执行率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比率≥90%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比率≥90%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比率≥90%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非税收入预算完成率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比率＝100%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比率＝100%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比率＝100%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绩效管理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事前绩效评估完成率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比率≥100%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绩效目标合理性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基本合理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基本合理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基本合理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绩效监控开展率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比率≥100%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绩效评价覆盖率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比率≥100%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评价结果应用率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比率≥100%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比率≥100%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资产管理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资产管理制度健全性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基本健全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基本健全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基本健全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资产管理规范性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基本规范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基本规范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基本规范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财务管理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财务管理制度健全性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基本健全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基本健全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基本健全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会计核算规范性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基本规范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基本规范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基本规范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资金使用合规性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基本合规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基本合规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基本合规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履职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效能</w:t>
            </w: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核心业务产出1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举办公益性演出场次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≥120场次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≥120场次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≥120场次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核心业务产出2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参加大型演出活动场次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≥2场次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≥2场次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≥2场次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对外文化交流活动次数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≥30次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≥30次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≥30次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戏曲编排创作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≥1首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≥1首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≥1首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旅游宣传推广次数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≥20次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≥20次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≥20次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全市文化和旅游单位日常安全检查次数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≥30次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≥30次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≥30次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旅游抽样调查报告数量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≥1份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≥1份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≥1份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基层文化公共服务现场调研指导次数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≥12次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≥12次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≥12次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日常可移动文物维护保养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=1项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=1项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=1项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修复文物数量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≥50件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≥50件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≥50件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日常不可移动文物巡查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≥121处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≥121处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≥121处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公共场馆免费开放时间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≥300天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≥300天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≥300天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培养、辅导的作者、演员在市级及以上排演发表奖励数量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≥20件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≥20件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≥20件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核心业务产出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公共场所全民健身器材覆盖率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≥100%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效应</w:t>
            </w: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经济效益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市内旅游人次增长率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≥30%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≥30%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≥30%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社会效益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丰富人民群众精神文化生活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较显著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较显著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none"/>
                <w:lang w:val="en-US" w:eastAsia="zh-CN"/>
              </w:rPr>
              <w:t>较显著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生态效益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旅游环境提升率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≥30%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≥30%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≥30%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可持续发展能力</w:t>
            </w: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体制机制改革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服务体制改革成效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基本满意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基本满意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基本满意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行政管理体制改革成效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基本满意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基本满意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基本满意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人才支撑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业务学习与培训完成率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干部队伍体系建设规划情况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基本符合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基本符合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基本符合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高学历、高层次人才储备率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≥10%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≥10%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≥10%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科技支撑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信息化建设情况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基本健全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基本健全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基本健全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满意度</w:t>
            </w:r>
          </w:p>
        </w:tc>
        <w:tc>
          <w:tcPr>
            <w:tcW w:w="152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服务对象满意度</w:t>
            </w: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观众满意度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27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6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旅客游客满意度</w:t>
            </w:r>
          </w:p>
        </w:tc>
        <w:tc>
          <w:tcPr>
            <w:tcW w:w="75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9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67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9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2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0" w:type="auto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联系部门满意度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社会公众满意度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≥90%</w:t>
            </w:r>
          </w:p>
        </w:tc>
        <w:tc>
          <w:tcPr>
            <w:tcW w:w="6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计划标准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u w:val="none"/>
              </w:rPr>
              <w:t>绩效基本型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NmI0MTAxMGU0YjdkYmM0MTc5OTZiZGM2NmUxYTUifQ=="/>
  </w:docVars>
  <w:rsids>
    <w:rsidRoot w:val="00000000"/>
    <w:rsid w:val="209A4693"/>
    <w:rsid w:val="56E60D0B"/>
    <w:rsid w:val="7BC15D87"/>
    <w:rsid w:val="7DC57282"/>
    <w:rsid w:val="E1B1A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libri Light" w:hAnsi="Calibri Light" w:cs="宋体"/>
      <w:b/>
      <w:bCs/>
      <w:sz w:val="32"/>
      <w:szCs w:val="32"/>
    </w:rPr>
  </w:style>
  <w:style w:type="paragraph" w:styleId="3">
    <w:name w:val="Body Text Indent"/>
    <w:basedOn w:val="1"/>
    <w:next w:val="4"/>
    <w:autoRedefine/>
    <w:qFormat/>
    <w:uiPriority w:val="0"/>
    <w:pPr>
      <w:ind w:left="420" w:leftChars="200"/>
    </w:pPr>
    <w:rPr>
      <w:rFonts w:ascii="Times New Roman" w:hAnsi="Times New Roman" w:cs="Times New Roman"/>
    </w:rPr>
  </w:style>
  <w:style w:type="paragraph" w:styleId="4">
    <w:name w:val="Body Text First Indent 2"/>
    <w:basedOn w:val="3"/>
    <w:next w:val="1"/>
    <w:autoRedefine/>
    <w:qFormat/>
    <w:uiPriority w:val="0"/>
    <w:pPr>
      <w:ind w:firstLine="420" w:firstLineChars="200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8">
    <w:name w:val="正文缩进1"/>
    <w:basedOn w:val="1"/>
    <w:autoRedefine/>
    <w:qFormat/>
    <w:uiPriority w:val="0"/>
    <w:pPr>
      <w:ind w:firstLine="420"/>
    </w:pPr>
  </w:style>
  <w:style w:type="character" w:customStyle="1" w:styleId="9">
    <w:name w:val="labeltitle1"/>
    <w:basedOn w:val="7"/>
    <w:autoRedefine/>
    <w:qFormat/>
    <w:uiPriority w:val="0"/>
    <w:rPr>
      <w:b/>
      <w:bCs/>
      <w:sz w:val="24"/>
      <w:szCs w:val="24"/>
    </w:rPr>
  </w:style>
  <w:style w:type="paragraph" w:customStyle="1" w:styleId="10">
    <w:name w:val="BodyText1I2"/>
    <w:basedOn w:val="11"/>
    <w:autoRedefine/>
    <w:qFormat/>
    <w:uiPriority w:val="0"/>
    <w:pPr>
      <w:spacing w:after="0"/>
      <w:ind w:left="420" w:leftChars="200" w:firstLine="420" w:firstLineChars="200"/>
      <w:jc w:val="both"/>
      <w:textAlignment w:val="baseline"/>
    </w:pPr>
  </w:style>
  <w:style w:type="paragraph" w:customStyle="1" w:styleId="11">
    <w:name w:val="BodyTextIndent"/>
    <w:basedOn w:val="1"/>
    <w:next w:val="10"/>
    <w:autoRedefine/>
    <w:qFormat/>
    <w:uiPriority w:val="0"/>
    <w:pPr>
      <w:spacing w:after="120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4601</Words>
  <Characters>5013</Characters>
  <Paragraphs>1066</Paragraphs>
  <TotalTime>77</TotalTime>
  <ScaleCrop>false</ScaleCrop>
  <LinksUpToDate>false</LinksUpToDate>
  <CharactersWithSpaces>5056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2024-01-24T15:26:00Z</dcterms:created>
  <dc:creator>倒亚指芭绦</dc:creator>
  <cp:lastModifiedBy>Administrator</cp:lastModifiedBy>
  <cp:lastPrinted>2024-01-24T16:44:00Z</cp:lastPrinted>
  <dcterms:modified xsi:type="dcterms:W3CDTF">2024-02-19T08:42:12Z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F75E78B84A454232B562B90BA67DC4E3_13</vt:lpwstr>
  </property>
</Properties>
</file>